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36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  <w:lang w:val="ru-RU"/>
        </w:rPr>
        <w:t>Министерство образования и науки Российской Федерации Федеральное государственное   бюджетное образовательное учреждение высшего образования</w:t>
      </w:r>
    </w:p>
    <w:p>
      <w:pPr>
        <w:pStyle w:val="Normal.0"/>
        <w:spacing w:after="0" w:line="360" w:lineRule="auto"/>
        <w:jc w:val="center"/>
        <w:rPr>
          <w:rFonts w:ascii="Times New Roman" w:cs="Times New Roman" w:hAnsi="Times New Roman" w:eastAsia="Times New Roman"/>
          <w:sz w:val="26"/>
          <w:szCs w:val="26"/>
          <w:u w:val="single"/>
        </w:rPr>
      </w:pPr>
      <w:r>
        <w:rPr>
          <w:rFonts w:ascii="Times New Roman" w:hAnsi="Times New Roman" w:hint="default"/>
          <w:sz w:val="26"/>
          <w:szCs w:val="26"/>
          <w:u w:val="single"/>
          <w:rtl w:val="0"/>
          <w:lang w:val="ru-RU"/>
        </w:rPr>
        <w:t>«Санкт</w:t>
      </w:r>
      <w:r>
        <w:rPr>
          <w:rFonts w:ascii="Times New Roman" w:hAnsi="Times New Roman"/>
          <w:sz w:val="26"/>
          <w:szCs w:val="26"/>
          <w:u w:val="single"/>
          <w:rtl w:val="0"/>
          <w:lang w:val="ru-RU"/>
        </w:rPr>
        <w:t>-</w:t>
      </w:r>
      <w:r>
        <w:rPr>
          <w:rFonts w:ascii="Times New Roman" w:hAnsi="Times New Roman" w:hint="default"/>
          <w:sz w:val="26"/>
          <w:szCs w:val="26"/>
          <w:u w:val="single"/>
          <w:rtl w:val="0"/>
          <w:lang w:val="ru-RU"/>
        </w:rPr>
        <w:t>Петербургский государственный морской технический университет»</w:t>
      </w:r>
    </w:p>
    <w:p>
      <w:pPr>
        <w:pStyle w:val="Normal.0"/>
        <w:spacing w:after="0" w:line="360" w:lineRule="auto"/>
        <w:jc w:val="center"/>
        <w:rPr>
          <w:rFonts w:ascii="Times New Roman" w:cs="Times New Roman" w:hAnsi="Times New Roman" w:eastAsia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  <w:rtl w:val="0"/>
          <w:lang w:val="ru-RU"/>
        </w:rPr>
        <w:t>(</w:t>
      </w:r>
      <w:r>
        <w:rPr>
          <w:rFonts w:ascii="Times New Roman" w:hAnsi="Times New Roman" w:hint="default"/>
          <w:sz w:val="26"/>
          <w:szCs w:val="26"/>
          <w:u w:val="single"/>
          <w:rtl w:val="0"/>
          <w:lang w:val="ru-RU"/>
        </w:rPr>
        <w:t>СПбГМТУ</w:t>
      </w:r>
      <w:r>
        <w:rPr>
          <w:rFonts w:ascii="Times New Roman" w:hAnsi="Times New Roman"/>
          <w:sz w:val="26"/>
          <w:szCs w:val="26"/>
          <w:u w:val="single"/>
          <w:rtl w:val="0"/>
          <w:lang w:val="ru-RU"/>
        </w:rPr>
        <w:t>)</w:t>
      </w:r>
    </w:p>
    <w:p>
      <w:pPr>
        <w:pStyle w:val="Normal.0"/>
        <w:spacing w:after="0" w:line="360" w:lineRule="auto"/>
        <w:jc w:val="center"/>
        <w:rPr>
          <w:rFonts w:ascii="Times New Roman" w:cs="Times New Roman" w:hAnsi="Times New Roman" w:eastAsia="Times New Roman"/>
          <w:sz w:val="26"/>
          <w:szCs w:val="26"/>
          <w:u w:val="single"/>
        </w:rPr>
      </w:pPr>
      <w:r>
        <w:rPr>
          <w:rFonts w:ascii="Times New Roman" w:hAnsi="Times New Roman" w:hint="default"/>
          <w:sz w:val="26"/>
          <w:szCs w:val="26"/>
          <w:rtl w:val="0"/>
          <w:lang w:val="ru-RU"/>
        </w:rPr>
        <w:t>Факультет ФЦПТ</w:t>
      </w: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Отчёт</w:t>
      </w:r>
    </w:p>
    <w:p>
      <w:pPr>
        <w:pStyle w:val="Normal.0"/>
        <w:spacing w:line="24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  <w:lang w:val="ru-RU"/>
        </w:rPr>
        <w:t>По лабораторной работе №</w:t>
      </w:r>
      <w:r>
        <w:rPr>
          <w:rFonts w:ascii="Times New Roman" w:hAnsi="Times New Roman"/>
          <w:sz w:val="26"/>
          <w:szCs w:val="26"/>
          <w:rtl w:val="0"/>
          <w:lang w:val="ru-RU"/>
        </w:rPr>
        <w:t>6</w:t>
      </w:r>
    </w:p>
    <w:p>
      <w:pPr>
        <w:pStyle w:val="Normal.0"/>
        <w:spacing w:line="24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  <w:lang w:val="ru-RU"/>
        </w:rPr>
        <w:t>по теме</w:t>
      </w:r>
    </w:p>
    <w:p>
      <w:pPr>
        <w:pStyle w:val="Normal.0"/>
        <w:spacing w:line="240" w:lineRule="auto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i w:val="1"/>
          <w:iCs w:val="1"/>
          <w:sz w:val="28"/>
          <w:szCs w:val="28"/>
          <w:rtl w:val="0"/>
          <w:lang w:val="ru-RU"/>
        </w:rPr>
        <w:t>«Исследование резонанса напряжения»</w:t>
      </w:r>
    </w:p>
    <w:p>
      <w:pPr>
        <w:pStyle w:val="Normal.0"/>
        <w:spacing w:line="240" w:lineRule="auto"/>
        <w:ind w:left="708" w:firstLine="0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line="240" w:lineRule="auto"/>
        <w:ind w:left="708" w:firstLine="0"/>
        <w:jc w:val="center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line="240" w:lineRule="auto"/>
        <w:ind w:left="708" w:firstLine="0"/>
        <w:jc w:val="righ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  <w:lang w:val="ru-RU"/>
        </w:rPr>
        <w:t>Выполнили</w:t>
      </w:r>
      <w:r>
        <w:rPr>
          <w:rFonts w:ascii="Times New Roman" w:hAnsi="Times New Roman"/>
          <w:sz w:val="26"/>
          <w:szCs w:val="26"/>
          <w:rtl w:val="0"/>
          <w:lang w:val="ru-RU"/>
        </w:rPr>
        <w:t xml:space="preserve">:          </w:t>
      </w:r>
    </w:p>
    <w:p>
      <w:pPr>
        <w:pStyle w:val="Normal.0"/>
        <w:spacing w:line="240" w:lineRule="auto"/>
        <w:ind w:left="708" w:firstLine="0"/>
        <w:jc w:val="righ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  <w:lang w:val="ru-RU"/>
        </w:rPr>
        <w:t xml:space="preserve">Студенты группы </w:t>
      </w:r>
      <w:r>
        <w:rPr>
          <w:rFonts w:ascii="Times New Roman" w:hAnsi="Times New Roman"/>
          <w:sz w:val="26"/>
          <w:szCs w:val="26"/>
          <w:rtl w:val="0"/>
          <w:lang w:val="ru-RU"/>
        </w:rPr>
        <w:t>202</w:t>
      </w:r>
      <w:r>
        <w:rPr>
          <w:rFonts w:ascii="Times New Roman" w:hAnsi="Times New Roman"/>
          <w:sz w:val="26"/>
          <w:szCs w:val="26"/>
          <w:rtl w:val="0"/>
          <w:lang w:val="en-US"/>
        </w:rPr>
        <w:t>50</w:t>
      </w:r>
    </w:p>
    <w:p>
      <w:pPr>
        <w:pStyle w:val="Normal.0"/>
        <w:spacing w:after="160" w:line="259" w:lineRule="auto"/>
        <w:ind w:left="5387" w:firstLine="0"/>
        <w:jc w:val="right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ru-RU"/>
          <w14:textFill>
            <w14:solidFill>
              <w14:srgbClr w14:val="000000"/>
            </w14:solidFill>
          </w14:textFill>
        </w:rPr>
        <w:t>Довбыш Александр Николаевич</w:t>
      </w:r>
    </w:p>
    <w:p>
      <w:pPr>
        <w:pStyle w:val="Normal.0"/>
        <w:spacing w:after="160" w:line="259" w:lineRule="auto"/>
        <w:ind w:left="5387" w:firstLine="0"/>
        <w:jc w:val="right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ru-RU"/>
          <w14:textFill>
            <w14:solidFill>
              <w14:srgbClr w14:val="000000"/>
            </w14:solidFill>
          </w14:textFill>
        </w:rPr>
        <w:t>Смирнов Иван Николаевич</w:t>
      </w:r>
    </w:p>
    <w:p>
      <w:pPr>
        <w:pStyle w:val="Normal.0"/>
        <w:spacing w:line="240" w:lineRule="auto"/>
        <w:ind w:left="708" w:firstLine="0"/>
        <w:jc w:val="righ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  <w:lang w:val="ru-RU"/>
        </w:rPr>
        <w:t>Проверил</w:t>
      </w:r>
      <w:r>
        <w:rPr>
          <w:rFonts w:ascii="Times New Roman" w:hAnsi="Times New Roman"/>
          <w:sz w:val="26"/>
          <w:szCs w:val="26"/>
          <w:rtl w:val="0"/>
          <w:lang w:val="ru-RU"/>
        </w:rPr>
        <w:t>:</w:t>
      </w:r>
    </w:p>
    <w:p>
      <w:pPr>
        <w:pStyle w:val="Normal.0"/>
        <w:spacing w:line="240" w:lineRule="auto"/>
        <w:ind w:left="708" w:firstLine="0"/>
        <w:jc w:val="righ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  <w:lang w:val="ru-RU"/>
        </w:rPr>
        <w:t>Попов А</w:t>
      </w:r>
      <w:r>
        <w:rPr>
          <w:rFonts w:ascii="Times New Roman" w:hAnsi="Times New Roman"/>
          <w:sz w:val="26"/>
          <w:szCs w:val="26"/>
          <w:rtl w:val="0"/>
          <w:lang w:val="ru-RU"/>
        </w:rPr>
        <w:t>.</w:t>
      </w:r>
      <w:r>
        <w:rPr>
          <w:rFonts w:ascii="Times New Roman" w:hAnsi="Times New Roman" w:hint="default"/>
          <w:sz w:val="26"/>
          <w:szCs w:val="26"/>
          <w:rtl w:val="0"/>
          <w:lang w:val="ru-RU"/>
        </w:rPr>
        <w:t>С</w:t>
      </w:r>
      <w:r>
        <w:rPr>
          <w:rFonts w:ascii="Times New Roman" w:hAnsi="Times New Roman"/>
          <w:sz w:val="26"/>
          <w:szCs w:val="26"/>
          <w:rtl w:val="0"/>
          <w:lang w:val="ru-RU"/>
        </w:rPr>
        <w:t>.</w:t>
      </w:r>
    </w:p>
    <w:p>
      <w:pPr>
        <w:pStyle w:val="Normal.0"/>
        <w:spacing w:line="240" w:lineRule="auto"/>
        <w:ind w:left="708" w:firstLine="0"/>
        <w:jc w:val="righ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Normal.0"/>
        <w:spacing w:line="240" w:lineRule="auto"/>
        <w:jc w:val="right"/>
        <w:rPr>
          <w:rFonts w:ascii="Times New Roman" w:cs="Times New Roman" w:hAnsi="Times New Roman" w:eastAsia="Times New Roman"/>
        </w:rPr>
      </w:pPr>
    </w:p>
    <w:p>
      <w:pPr>
        <w:pStyle w:val="Normal.0"/>
        <w:spacing w:line="240" w:lineRule="auto"/>
        <w:jc w:val="right"/>
        <w:rPr>
          <w:rFonts w:ascii="Times New Roman" w:cs="Times New Roman" w:hAnsi="Times New Roman" w:eastAsia="Times New Roman"/>
        </w:rPr>
      </w:pPr>
    </w:p>
    <w:p>
      <w:pPr>
        <w:pStyle w:val="Normal.0"/>
        <w:spacing w:line="240" w:lineRule="auto"/>
        <w:jc w:val="right"/>
        <w:rPr>
          <w:rFonts w:ascii="Times New Roman" w:cs="Times New Roman" w:hAnsi="Times New Roman" w:eastAsia="Times New Roman"/>
        </w:rPr>
      </w:pPr>
    </w:p>
    <w:p>
      <w:pPr>
        <w:pStyle w:val="Normal.0"/>
        <w:spacing w:line="240" w:lineRule="auto"/>
        <w:jc w:val="right"/>
        <w:rPr>
          <w:rFonts w:ascii="Times New Roman" w:cs="Times New Roman" w:hAnsi="Times New Roman" w:eastAsia="Times New Roman"/>
        </w:rPr>
      </w:pPr>
    </w:p>
    <w:p>
      <w:pPr>
        <w:pStyle w:val="Normal.0"/>
        <w:spacing w:line="240" w:lineRule="auto"/>
        <w:jc w:val="right"/>
        <w:rPr>
          <w:rFonts w:ascii="Times New Roman" w:cs="Times New Roman" w:hAnsi="Times New Roman" w:eastAsia="Times New Roman"/>
        </w:rPr>
      </w:pPr>
    </w:p>
    <w:p>
      <w:pPr>
        <w:pStyle w:val="Normal.0"/>
        <w:spacing w:line="240" w:lineRule="auto"/>
        <w:rPr>
          <w:rFonts w:ascii="Times New Roman" w:cs="Times New Roman" w:hAnsi="Times New Roman" w:eastAsia="Times New Roman"/>
        </w:rPr>
      </w:pPr>
    </w:p>
    <w:p>
      <w:pPr>
        <w:pStyle w:val="Normal.0"/>
        <w:spacing w:line="240" w:lineRule="auto"/>
        <w:rPr>
          <w:rFonts w:ascii="Times New Roman" w:cs="Times New Roman" w:hAnsi="Times New Roman" w:eastAsia="Times New Roman"/>
        </w:rPr>
      </w:pPr>
    </w:p>
    <w:p>
      <w:pPr>
        <w:pStyle w:val="Normal.0"/>
        <w:spacing w:line="24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ru-RU"/>
        </w:rPr>
        <w:t>Санкт</w:t>
      </w:r>
      <w:r>
        <w:rPr>
          <w:rFonts w:ascii="Times New Roman" w:hAnsi="Times New Roman"/>
          <w:sz w:val="24"/>
          <w:szCs w:val="24"/>
          <w:rtl w:val="0"/>
          <w:lang w:val="ru-RU"/>
        </w:rPr>
        <w:t>-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 xml:space="preserve">Петербург </w:t>
      </w:r>
    </w:p>
    <w:p>
      <w:pPr>
        <w:pStyle w:val="Normal.0"/>
        <w:spacing w:line="24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ru-RU"/>
        </w:rPr>
        <w:t>202</w:t>
      </w:r>
      <w:r>
        <w:rPr>
          <w:rFonts w:ascii="Times New Roman" w:hAnsi="Times New Roman"/>
          <w:sz w:val="24"/>
          <w:szCs w:val="24"/>
          <w:rtl w:val="0"/>
          <w:lang w:val="en-US"/>
        </w:rPr>
        <w:t>5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 xml:space="preserve"> год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ru-RU"/>
        </w:rPr>
        <w:t>Цель работы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: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 xml:space="preserve">Исследование характеристик цепи с последовательным соединением элементов </w:t>
      </w:r>
      <w:r>
        <w:rPr>
          <w:rFonts w:ascii="Times New Roman" w:hAnsi="Times New Roman"/>
          <w:sz w:val="24"/>
          <w:szCs w:val="24"/>
          <w:rtl w:val="0"/>
          <w:lang w:val="en-US"/>
        </w:rPr>
        <w:t>R,L,C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 xml:space="preserve"> при изменении частоты входного напряжения и емкости конденсатора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>Проверка основных соотношений при резонансе напряжений</w:t>
      </w:r>
      <w:r>
        <w:rPr>
          <w:rFonts w:ascii="Times New Roman" w:hAnsi="Times New Roman"/>
          <w:sz w:val="24"/>
          <w:szCs w:val="24"/>
          <w:rtl w:val="0"/>
          <w:lang w:val="ru-RU"/>
        </w:rPr>
        <w:t>.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ru-RU"/>
        </w:rPr>
        <w:t xml:space="preserve"> Исходные данные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: 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ru-RU"/>
        </w:rPr>
        <w:t xml:space="preserve">-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 xml:space="preserve">Ёмкость конденсатора 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C = 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68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>нФ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ru-RU"/>
        </w:rPr>
        <w:t xml:space="preserve"> -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 xml:space="preserve">Сопротивление резистора 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R = </w:t>
      </w:r>
      <w:r>
        <w:rPr>
          <w:rFonts w:ascii="Times New Roman" w:hAnsi="Times New Roman"/>
          <w:sz w:val="24"/>
          <w:szCs w:val="24"/>
          <w:rtl w:val="0"/>
          <w:lang w:val="en-US"/>
        </w:rPr>
        <w:t>2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>к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>Ом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ru-RU"/>
        </w:rPr>
        <w:t xml:space="preserve"> -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 xml:space="preserve">Индуктивность катушки </w:t>
      </w:r>
      <w:r>
        <w:rPr>
          <w:rFonts w:ascii="Times New Roman" w:hAnsi="Times New Roman"/>
          <w:sz w:val="24"/>
          <w:szCs w:val="24"/>
          <w:rtl w:val="0"/>
          <w:lang w:val="en-US"/>
        </w:rPr>
        <w:t>L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 = 50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>мГн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ru-RU"/>
        </w:rPr>
        <w:t>Для проведения измерений и исследования была собрана электрическая схема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>которая представлена ниже</w:t>
      </w:r>
      <w:r>
        <w:rPr>
          <w:rFonts w:ascii="Times New Roman" w:hAnsi="Times New Roman"/>
          <w:sz w:val="24"/>
          <w:szCs w:val="24"/>
          <w:rtl w:val="0"/>
          <w:lang w:val="ru-RU"/>
        </w:rPr>
        <w:t>:</w:t>
      </w: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ru-RU"/>
        </w:rPr>
        <w:t xml:space="preserve">                      </w:t>
      </w:r>
      <w:r>
        <w:rPr>
          <w:rFonts w:ascii="Times New Roman" w:cs="Times New Roman" w:hAnsi="Times New Roman" w:eastAsia="Times New Roman"/>
          <w:sz w:val="24"/>
          <w:szCs w:val="24"/>
        </w:rPr>
        <w:drawing xmlns:a="http://schemas.openxmlformats.org/drawingml/2006/main">
          <wp:inline distT="0" distB="0" distL="0" distR="0">
            <wp:extent cx="4946285" cy="2458221"/>
            <wp:effectExtent l="0" t="0" r="0" b="0"/>
            <wp:docPr id="1073741825" name="officeArt object" descr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Рисунок 2" descr="Рисунок 2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6285" cy="24582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ru-RU"/>
        </w:rPr>
        <w:t>Рис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. 1.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>Электрическая схема последовательного контура</w:t>
      </w:r>
    </w:p>
    <w:p>
      <w:pPr>
        <w:pStyle w:val="Normal.0"/>
        <w:jc w:val="center"/>
        <w:rPr>
          <w:rFonts w:ascii="Times New Roman" w:cs="Times New Roman" w:hAnsi="Times New Roman" w:eastAsia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f</w:t>
      </w:r>
      <w:r>
        <w:rPr>
          <w:rFonts w:ascii="Times New Roman" w:hAnsi="Times New Roman"/>
          <w:sz w:val="24"/>
          <w:szCs w:val="24"/>
          <w:vertAlign w:val="subscript"/>
          <w:rtl w:val="0"/>
          <w:lang w:val="en-US"/>
        </w:rPr>
        <w:t>0</w:t>
      </w:r>
    </w:p>
    <w:tbl>
      <w:tblPr>
        <w:tblW w:w="10455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1045"/>
        <w:gridCol w:w="1045"/>
        <w:gridCol w:w="1045"/>
        <w:gridCol w:w="1045"/>
        <w:gridCol w:w="1046"/>
        <w:gridCol w:w="1045"/>
        <w:gridCol w:w="1046"/>
        <w:gridCol w:w="1046"/>
        <w:gridCol w:w="1046"/>
        <w:gridCol w:w="1046"/>
      </w:tblGrid>
      <w:tr>
        <w:tblPrEx>
          <w:shd w:val="clear" w:color="auto" w:fill="d0ddef"/>
        </w:tblPrEx>
        <w:trPr>
          <w:trHeight w:val="300" w:hRule="atLeast"/>
        </w:trPr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f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107,8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321,8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527,8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760,8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2730,8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6130,8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9290,8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14690,8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30690,8</w:t>
            </w:r>
          </w:p>
        </w:tc>
      </w:tr>
      <w:tr>
        <w:tblPrEx>
          <w:shd w:val="clear" w:color="auto" w:fill="d0ddef"/>
        </w:tblPrEx>
        <w:trPr>
          <w:trHeight w:val="300" w:hRule="atLeast"/>
        </w:trPr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U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vertAlign w:val="subscript"/>
                <w:rtl w:val="0"/>
                <w:lang w:val="en-US"/>
              </w:rPr>
              <w:t>R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ru-RU"/>
              </w:rPr>
              <w:t>26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0,78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1,3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1,82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2,6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1,82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1,3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0,78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0,26</w:t>
            </w:r>
          </w:p>
        </w:tc>
      </w:tr>
      <w:tr>
        <w:tblPrEx>
          <w:shd w:val="clear" w:color="auto" w:fill="d0ddef"/>
        </w:tblPrEx>
        <w:trPr>
          <w:trHeight w:val="300" w:hRule="atLeast"/>
        </w:trPr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vertAlign w:val="baseline"/>
                <w:rtl w:val="0"/>
                <w:lang w:val="en-US"/>
              </w:rPr>
              <w:t>U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vertAlign w:val="subscript"/>
                <w:rtl w:val="0"/>
                <w:lang w:val="en-US"/>
              </w:rPr>
              <w:t>L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0,0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ru-RU"/>
              </w:rPr>
              <w:t>2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0,05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0,14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0,27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1,68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2,38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2,62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2,72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2,82</w:t>
            </w:r>
          </w:p>
        </w:tc>
      </w:tr>
      <w:tr>
        <w:tblPrEx>
          <w:shd w:val="clear" w:color="auto" w:fill="d0ddef"/>
        </w:tblPrEx>
        <w:trPr>
          <w:trHeight w:val="300" w:hRule="atLeast"/>
        </w:trPr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vertAlign w:val="baseline"/>
                <w:rtl w:val="0"/>
                <w:lang w:val="en-US"/>
              </w:rPr>
              <w:t>U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vertAlign w:val="subscript"/>
                <w:rtl w:val="0"/>
                <w:lang w:val="en-US"/>
              </w:rPr>
              <w:t>C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,8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2,7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2,66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2,54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1,16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0,33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0,15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0,06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0,01</w:t>
            </w:r>
          </w:p>
        </w:tc>
      </w:tr>
      <w:tr>
        <w:tblPrEx>
          <w:shd w:val="clear" w:color="auto" w:fill="d0ddef"/>
        </w:tblPrEx>
        <w:trPr>
          <w:trHeight w:val="300" w:hRule="atLeast"/>
        </w:trPr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vertAlign w:val="baseline"/>
                <w:rtl w:val="0"/>
                <w:lang w:val="en-US"/>
              </w:rPr>
              <w:t>φ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-86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-78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-75,7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-55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56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65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72</w:t>
            </w:r>
          </w:p>
        </w:tc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92,8</w:t>
            </w:r>
          </w:p>
        </w:tc>
      </w:tr>
    </w:tbl>
    <w:p>
      <w:pPr>
        <w:pStyle w:val="Normal.0"/>
        <w:widowControl w:val="0"/>
        <w:spacing w:line="240" w:lineRule="auto"/>
        <w:jc w:val="center"/>
        <w:rPr>
          <w:rFonts w:ascii="Times New Roman" w:cs="Times New Roman" w:hAnsi="Times New Roman" w:eastAsia="Times New Roman"/>
          <w:sz w:val="24"/>
          <w:szCs w:val="24"/>
          <w:lang w:val="en-US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  <w:lang w:val="en-US"/>
        </w:rPr>
      </w:pPr>
    </w:p>
    <w:p>
      <w:pPr>
        <w:pStyle w:val="Normal.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ru-RU"/>
        </w:rPr>
        <w:t>Рассчитаем резонансную частоту</w:t>
      </w:r>
      <w:r>
        <w:rPr>
          <w:rFonts w:ascii="Times New Roman" w:hAnsi="Times New Roman"/>
          <w:sz w:val="24"/>
          <w:szCs w:val="24"/>
          <w:rtl w:val="0"/>
          <w:lang w:val="ru-RU"/>
        </w:rPr>
        <w:t>:</w:t>
      </w:r>
    </w:p>
    <w:p>
      <w:pPr>
        <w:pStyle w:val="Normal.0"/>
        <w:rPr>
          <w:rFonts w:ascii="Times New Roman" w:cs="Times New Roman" w:hAnsi="Times New Roman" w:eastAsia="Times New Roman"/>
          <w:outline w:val="0"/>
          <w:color w:val="202122"/>
          <w:sz w:val="24"/>
          <w:szCs w:val="24"/>
          <w:u w:color="202122"/>
          <w:shd w:val="clear" w:color="auto" w:fill="ffffff"/>
          <w14:textFill>
            <w14:solidFill>
              <w14:srgbClr w14:val="202122"/>
            </w14:solidFill>
          </w14:textFill>
        </w:rPr>
      </w:pPr>
      <w:r>
        <w:rPr>
          <w:rFonts w:ascii="Times New Roman" w:hAnsi="Times New Roman" w:hint="default"/>
          <w:outline w:val="0"/>
          <w:color w:val="202122"/>
          <w:sz w:val="24"/>
          <w:szCs w:val="24"/>
          <w:u w:color="202122"/>
          <w:shd w:val="clear" w:color="auto" w:fill="ffffff"/>
          <w:rtl w:val="0"/>
          <w:lang w:val="ru-RU"/>
          <w14:textFill>
            <w14:solidFill>
              <w14:srgbClr w14:val="202122"/>
            </w14:solidFill>
          </w14:textFill>
        </w:rPr>
        <w:t>ω</w:t>
      </w:r>
      <w:r>
        <w:rPr>
          <w:rFonts w:ascii="Times New Roman" w:hAnsi="Times New Roman"/>
          <w:outline w:val="0"/>
          <w:color w:val="202122"/>
          <w:sz w:val="24"/>
          <w:szCs w:val="24"/>
          <w:u w:color="202122"/>
          <w:shd w:val="clear" w:color="auto" w:fill="ffffff"/>
          <w:vertAlign w:val="subscript"/>
          <w:rtl w:val="0"/>
          <w:lang w:val="ru-RU"/>
          <w14:textFill>
            <w14:solidFill>
              <w14:srgbClr w14:val="202122"/>
            </w14:solidFill>
          </w14:textFill>
        </w:rPr>
        <w:t>0</w:t>
      </w:r>
      <w:r>
        <w:rPr>
          <w:rFonts w:ascii="Times New Roman" w:hAnsi="Times New Roman"/>
          <w:outline w:val="0"/>
          <w:color w:val="202122"/>
          <w:sz w:val="24"/>
          <w:szCs w:val="24"/>
          <w:u w:color="202122"/>
          <w:shd w:val="clear" w:color="auto" w:fill="ffffff"/>
          <w:rtl w:val="0"/>
          <w:lang w:val="ru-RU"/>
          <w14:textFill>
            <w14:solidFill>
              <w14:srgbClr w14:val="202122"/>
            </w14:solidFill>
          </w14:textFill>
        </w:rPr>
        <w:t xml:space="preserve"> = </w:t>
      </w:r>
      <m:oMath>
        <m:f>
          <m:fPr>
            <m:ctrlPr>
              <w:rPr xmlns:w="http://schemas.openxmlformats.org/wordprocessingml/2006/main">
                <w:rFonts w:ascii="Cambria Math" w:hAnsi="Cambria Math"/>
                <w:i/>
                <w:color w:val="202122"/>
                <w:sz w:val="25"/>
                <w:szCs w:val="25"/>
              </w:rPr>
            </m:ctrlPr>
            <m:type m:val="bar"/>
          </m:fPr>
          <m:num>
            <m:r>
              <w:rPr xmlns:w="http://schemas.openxmlformats.org/wordprocessingml/2006/main">
                <w:rFonts w:ascii="Cambria Math" w:hAnsi="Cambria Math"/>
                <w:i/>
                <w:color w:val="202122"/>
                <w:sz w:val="25"/>
                <w:szCs w:val="25"/>
              </w:rPr>
              <m:t>1</m:t>
            </m:r>
          </m:num>
          <m:den>
            <m:sSup>
              <m:e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(</m:t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L</m:t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C</m:t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)</m:t>
                </m:r>
              </m:e>
              <m:sup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0,5</m:t>
                </m:r>
              </m:sup>
            </m:sSup>
          </m:den>
        </m:f>
      </m:oMath>
      <w:r>
        <w:rPr>
          <w:rFonts w:ascii="Times New Roman" w:hAnsi="Times New Roman"/>
          <w:outline w:val="0"/>
          <w:color w:val="202122"/>
          <w:sz w:val="24"/>
          <w:szCs w:val="24"/>
          <w:u w:color="202122"/>
          <w:shd w:val="clear" w:color="auto" w:fill="ffffff"/>
          <w:rtl w:val="0"/>
          <w:lang w:val="ru-RU"/>
          <w14:textFill>
            <w14:solidFill>
              <w14:srgbClr w14:val="202122"/>
            </w14:solidFill>
          </w14:textFill>
        </w:rPr>
        <w:t xml:space="preserve"> = </w:t>
      </w:r>
      <m:oMath>
        <m:f>
          <m:fPr>
            <m:ctrlPr>
              <w:rPr xmlns:w="http://schemas.openxmlformats.org/wordprocessingml/2006/main">
                <w:rFonts w:ascii="Cambria Math" w:hAnsi="Cambria Math"/>
                <w:i/>
                <w:color w:val="202122"/>
                <w:sz w:val="25"/>
                <w:szCs w:val="25"/>
              </w:rPr>
            </m:ctrlPr>
            <m:type m:val="bar"/>
          </m:fPr>
          <m:num>
            <m:r>
              <w:rPr xmlns:w="http://schemas.openxmlformats.org/wordprocessingml/2006/main">
                <w:rFonts w:ascii="Cambria Math" w:hAnsi="Cambria Math"/>
                <w:i/>
                <w:color w:val="202122"/>
                <w:sz w:val="25"/>
                <w:szCs w:val="25"/>
              </w:rPr>
              <m:t>1</m:t>
            </m:r>
          </m:num>
          <m:den>
            <m:sSup>
              <m:e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(</m:t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50</m:t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*</m:t>
                </m:r>
                <m:sSup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202122"/>
                        <w:sz w:val="25"/>
                        <w:szCs w:val="25"/>
                      </w:rPr>
                      <m:t>10</m:t>
                    </m:r>
                  </m:e>
                  <m:sup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202122"/>
                        <w:sz w:val="25"/>
                        <w:szCs w:val="25"/>
                      </w:rPr>
                      <m:t>-</m:t>
                    </m:r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202122"/>
                        <w:sz w:val="25"/>
                        <w:szCs w:val="25"/>
                      </w:rPr>
                      <m:t>3</m:t>
                    </m:r>
                  </m:sup>
                </m:sSup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*</m:t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33</m:t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*</m:t>
                </m:r>
                <m:sSup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202122"/>
                        <w:sz w:val="25"/>
                        <w:szCs w:val="25"/>
                      </w:rPr>
                      <m:t>10</m:t>
                    </m:r>
                  </m:e>
                  <m:sup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202122"/>
                        <w:sz w:val="25"/>
                        <w:szCs w:val="25"/>
                      </w:rPr>
                      <m:t>-</m:t>
                    </m:r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202122"/>
                        <w:sz w:val="25"/>
                        <w:szCs w:val="25"/>
                      </w:rPr>
                      <m:t>9</m:t>
                    </m:r>
                  </m:sup>
                </m:sSup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)</m:t>
                </m:r>
              </m:e>
              <m:sup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5"/>
                    <w:szCs w:val="25"/>
                  </w:rPr>
                  <m:t>0,5</m:t>
                </m:r>
              </m:sup>
            </m:sSup>
          </m:den>
        </m:f>
      </m:oMath>
      <w:r>
        <w:rPr>
          <w:rFonts w:ascii="Times New Roman" w:hAnsi="Times New Roman"/>
          <w:outline w:val="0"/>
          <w:color w:val="202122"/>
          <w:sz w:val="24"/>
          <w:szCs w:val="24"/>
          <w:u w:color="202122"/>
          <w:shd w:val="clear" w:color="auto" w:fill="ffffff"/>
          <w:rtl w:val="0"/>
          <w:lang w:val="ru-RU"/>
          <w14:textFill>
            <w14:solidFill>
              <w14:srgbClr w14:val="202122"/>
            </w14:solidFill>
          </w14:textFill>
        </w:rPr>
        <w:t xml:space="preserve"> = </w:t>
      </w:r>
      <w:r>
        <w:rPr>
          <w:rFonts w:ascii="Times New Roman" w:hAnsi="Times New Roman"/>
          <w:outline w:val="0"/>
          <w:color w:val="202122"/>
          <w:sz w:val="24"/>
          <w:szCs w:val="24"/>
          <w:u w:color="202122"/>
          <w:shd w:val="clear" w:color="auto" w:fill="ffffff"/>
          <w:rtl w:val="0"/>
          <w:lang w:val="en-US"/>
          <w14:textFill>
            <w14:solidFill>
              <w14:srgbClr w14:val="202122"/>
            </w14:solidFill>
          </w14:textFill>
        </w:rPr>
        <w:t>17158,12</w:t>
      </w:r>
      <w:r>
        <w:rPr>
          <w:rFonts w:ascii="Times New Roman" w:hAnsi="Times New Roman" w:hint="default"/>
          <w:outline w:val="0"/>
          <w:color w:val="202122"/>
          <w:sz w:val="24"/>
          <w:szCs w:val="24"/>
          <w:u w:color="202122"/>
          <w:shd w:val="clear" w:color="auto" w:fill="ffffff"/>
          <w:rtl w:val="0"/>
          <w:lang w:val="ru-RU"/>
          <w14:textFill>
            <w14:solidFill>
              <w14:srgbClr w14:val="202122"/>
            </w14:solidFill>
          </w14:textFill>
        </w:rPr>
        <w:t xml:space="preserve"> рад</w:t>
      </w:r>
      <w:r>
        <w:rPr>
          <w:rFonts w:ascii="Times New Roman" w:hAnsi="Times New Roman"/>
          <w:outline w:val="0"/>
          <w:color w:val="202122"/>
          <w:sz w:val="24"/>
          <w:szCs w:val="24"/>
          <w:u w:color="202122"/>
          <w:shd w:val="clear" w:color="auto" w:fill="ffffff"/>
          <w:rtl w:val="0"/>
          <w:lang w:val="ru-RU"/>
          <w14:textFill>
            <w14:solidFill>
              <w14:srgbClr w14:val="202122"/>
            </w14:solidFill>
          </w14:textFill>
        </w:rPr>
        <w:t>/</w:t>
      </w:r>
      <w:r>
        <w:rPr>
          <w:rFonts w:ascii="Times New Roman" w:hAnsi="Times New Roman" w:hint="default"/>
          <w:outline w:val="0"/>
          <w:color w:val="202122"/>
          <w:sz w:val="24"/>
          <w:szCs w:val="24"/>
          <w:u w:color="202122"/>
          <w:shd w:val="clear" w:color="auto" w:fill="ffffff"/>
          <w:rtl w:val="0"/>
          <w:lang w:val="ru-RU"/>
          <w14:textFill>
            <w14:solidFill>
              <w14:srgbClr w14:val="202122"/>
            </w14:solidFill>
          </w14:textFill>
        </w:rPr>
        <w:t>с</w:t>
      </w:r>
    </w:p>
    <w:p>
      <w:pPr>
        <w:pStyle w:val="Normal.0"/>
        <w:rPr>
          <w:rFonts w:ascii="Times New Roman" w:cs="Times New Roman" w:hAnsi="Times New Roman" w:eastAsia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f</w:t>
      </w:r>
      <w:r>
        <w:rPr>
          <w:rFonts w:ascii="Times New Roman" w:hAnsi="Times New Roman"/>
          <w:sz w:val="24"/>
          <w:szCs w:val="24"/>
          <w:vertAlign w:val="subscript"/>
          <w:rtl w:val="0"/>
          <w:lang w:val="ru-RU"/>
        </w:rPr>
        <w:t>0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 = </w:t>
      </w:r>
      <m:oMath>
        <m:f>
          <m:fPr>
            <m:ctrlPr>
              <w:rPr xmlns:w="http://schemas.openxmlformats.org/wordprocessingml/2006/main">
                <w:rFonts w:ascii="Cambria Math" w:hAnsi="Cambria Math"/>
                <w:i/>
                <w:color w:val="000000"/>
                <w:sz w:val="28"/>
                <w:szCs w:val="28"/>
              </w:rPr>
            </m:ctrlPr>
            <m:type m:val="bar"/>
          </m:fPr>
          <m:num>
            <m:sSub>
              <m:e>
                <m:r>
                  <m:rPr>
                    <m:sty m:val="p"/>
                  </m:rP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8"/>
                    <w:szCs w:val="28"/>
                  </w:rPr>
                  <m:t>ω</m:t>
                </m:r>
              </m:e>
              <m:sub>
                <m:r>
                  <w:rPr xmlns:w="http://schemas.openxmlformats.org/wordprocessingml/2006/main">
                    <w:rFonts w:ascii="Cambria Math" w:hAnsi="Cambria Math"/>
                    <w:i/>
                    <w:color w:val="202122"/>
                    <w:sz w:val="28"/>
                    <w:szCs w:val="28"/>
                  </w:rPr>
                  <m:t>0</m:t>
                </m:r>
              </m:sub>
            </m:sSub>
          </m:num>
          <m:den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8"/>
                <w:szCs w:val="28"/>
              </w:rPr>
              <m:t>2</m:t>
            </m:r>
            <m:r>
              <m:rPr>
                <m:sty m:val="p"/>
              </m:rPr>
              <w:rPr xmlns:w="http://schemas.openxmlformats.org/wordprocessingml/2006/main">
                <w:rFonts w:ascii="Cambria Math" w:hAnsi="Cambria Math"/>
                <w:i/>
                <w:color w:val="202122"/>
                <w:sz w:val="28"/>
                <w:szCs w:val="28"/>
              </w:rPr>
              <m:t>π</m:t>
            </m:r>
          </m:den>
        </m:f>
      </m:oMath>
      <w:r>
        <w:rPr>
          <w:rFonts w:ascii="Times New Roman" w:hAnsi="Times New Roman"/>
          <w:sz w:val="24"/>
          <w:szCs w:val="24"/>
          <w:rtl w:val="0"/>
          <w:lang w:val="ru-RU"/>
        </w:rPr>
        <w:t xml:space="preserve"> = </w:t>
      </w:r>
      <w:r>
        <w:rPr>
          <w:rFonts w:ascii="Times New Roman" w:hAnsi="Times New Roman"/>
          <w:sz w:val="24"/>
          <w:szCs w:val="24"/>
          <w:rtl w:val="0"/>
          <w:lang w:val="en-US"/>
        </w:rPr>
        <w:t>2730,8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 xml:space="preserve"> Гц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ru-RU"/>
        </w:rPr>
        <w:t xml:space="preserve">       </w:t>
      </w:r>
      <w:r>
        <w:drawing xmlns:a="http://schemas.openxmlformats.org/drawingml/2006/main">
          <wp:inline distT="0" distB="0" distL="0" distR="0">
            <wp:extent cx="5420597" cy="2751720"/>
            <wp:effectExtent l="0" t="0" r="0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5"/>
              </a:graphicData>
            </a:graphic>
          </wp:inline>
        </w:drawing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drawing xmlns:a="http://schemas.openxmlformats.org/drawingml/2006/main">
          <wp:inline distT="0" distB="0" distL="0" distR="0">
            <wp:extent cx="5875865" cy="3129757"/>
            <wp:effectExtent l="0" t="0" r="0" b="0"/>
            <wp:docPr id="1073741827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6"/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 </w:t>
      </w:r>
    </w:p>
    <w:p>
      <w:pPr>
        <w:pStyle w:val="Normal.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Normal.0"/>
        <w:jc w:val="both"/>
      </w:pPr>
      <w:r>
        <w:rPr>
          <w:rFonts w:ascii="Times New Roman" w:hAnsi="Times New Roman" w:hint="default"/>
          <w:sz w:val="24"/>
          <w:szCs w:val="24"/>
          <w:rtl w:val="0"/>
          <w:lang w:val="ru-RU"/>
        </w:rPr>
        <w:t>Вывод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: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>в ходе работы мы с помощью осциллографа измерили напряжение и фазу резистора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>конденсатора и катушки индуктивности в последовательном их подключении при разных частотах</w:t>
      </w:r>
      <w:r>
        <w:rPr>
          <w:rFonts w:ascii="Times New Roman" w:hAnsi="Times New Roman"/>
          <w:sz w:val="24"/>
          <w:szCs w:val="24"/>
          <w:rtl w:val="0"/>
          <w:lang w:val="ru-RU"/>
        </w:rPr>
        <w:t xml:space="preserve">; </w:t>
      </w:r>
      <w:r>
        <w:rPr>
          <w:rFonts w:ascii="Times New Roman" w:hAnsi="Times New Roman" w:hint="default"/>
          <w:sz w:val="24"/>
          <w:szCs w:val="24"/>
          <w:rtl w:val="0"/>
          <w:lang w:val="ru-RU"/>
        </w:rPr>
        <w:t>построили зависимости напряжения и фазового сдвига от частоты</w:t>
      </w:r>
      <w:r>
        <w:rPr>
          <w:rFonts w:ascii="Times New Roman" w:hAnsi="Times New Roman"/>
          <w:sz w:val="24"/>
          <w:szCs w:val="24"/>
          <w:rtl w:val="0"/>
          <w:lang w:val="ru-RU"/>
        </w:rPr>
        <w:t>.</w:t>
      </w:r>
    </w:p>
    <w:sectPr>
      <w:headerReference w:type="default" r:id="rId7"/>
      <w:footerReference w:type="default" r:id="rId8"/>
      <w:pgSz w:w="11900" w:h="16840" w:orient="portrait"/>
      <w:pgMar w:top="720" w:right="720" w:bottom="720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Колонтитулы">
    <w:name w:val="Колонтитулы"/>
    <w:next w:val="Колонтитулы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chart" Target="charts/chart1.xml"/><Relationship Id="rId6" Type="http://schemas.openxmlformats.org/officeDocument/2006/relationships/chart" Target="charts/chart2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charts/_rels/chart1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.xlsx"/></Relationships>

</file>

<file path=word/charts/_rels/chart2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2.xlsx"/></Relationships>
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0" i="0" strike="noStrike" sz="1400" u="none">
                <a:solidFill>
                  <a:srgbClr val="595959"/>
                </a:solidFill>
                <a:latin typeface="Calibri"/>
              </a:defRPr>
            </a:pPr>
            <a:r>
              <a:rPr b="0" i="0" strike="noStrike" sz="1400" u="none">
                <a:solidFill>
                  <a:srgbClr val="595959"/>
                </a:solidFill>
                <a:latin typeface="Calibri"/>
              </a:rPr>
              <a:t>Зависимость напряжения от частоты </a:t>
            </a:r>
          </a:p>
        </c:rich>
      </c:tx>
      <c:layout>
        <c:manualLayout>
          <c:xMode val="edge"/>
          <c:yMode val="edge"/>
          <c:x val="0.240124"/>
          <c:y val="0"/>
          <c:w val="0.519752"/>
          <c:h val="0.110416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0619237"/>
          <c:y val="0.110416"/>
          <c:w val="0.933076"/>
          <c:h val="0.745024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U_R</c:v>
                </c:pt>
              </c:strCache>
            </c:strRef>
          </c:tx>
          <c:spPr>
            <a:solidFill>
              <a:schemeClr val="accent1"/>
            </a:solidFill>
            <a:ln w="28575" cap="rnd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circle"/>
            <c:size val="4"/>
            <c:spPr>
              <a:solidFill>
                <a:schemeClr val="accent1"/>
              </a:solidFill>
              <a:ln w="9525" cap="flat">
                <a:solidFill>
                  <a:schemeClr val="accent1"/>
                </a:solidFill>
                <a:prstDash val="solid"/>
                <a:miter lim="800000"/>
              </a:ln>
              <a:effectLst/>
            </c:spPr>
          </c:marker>
          <c:dLbls>
            <c:numFmt formatCode="0.##" sourceLinked="0"/>
            <c:txPr>
              <a:bodyPr/>
              <a:lstStyle/>
              <a:p>
                <a:pPr>
                  <a:defRPr b="0" i="0" strike="noStrike" sz="1000" u="none">
                    <a:solidFill>
                      <a:srgbClr val="000000"/>
                    </a:solidFill>
                    <a:latin typeface="Calibri"/>
                  </a:defRPr>
                </a:pPr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Sheet1!$A$2:$A$11</c:f>
              <c:strCache>
                <c:ptCount val="10"/>
                <c:pt idx="0">
                  <c:v>107,8</c:v>
                </c:pt>
                <c:pt idx="1">
                  <c:v>321,8</c:v>
                </c:pt>
                <c:pt idx="2">
                  <c:v>527,8</c:v>
                </c:pt>
                <c:pt idx="3">
                  <c:v>760,8</c:v>
                </c:pt>
                <c:pt idx="4">
                  <c:v>2730,8</c:v>
                </c:pt>
                <c:pt idx="5">
                  <c:v>6130,8</c:v>
                </c:pt>
                <c:pt idx="6">
                  <c:v>9290,8</c:v>
                </c:pt>
                <c:pt idx="7">
                  <c:v>14690,8</c:v>
                </c:pt>
                <c:pt idx="8">
                  <c:v>30690,8</c:v>
                </c:pt>
                <c:pt idx="9">
                  <c:v>f, Гц</c:v>
                </c:pt>
              </c:strCache>
            </c:strRef>
          </c:cat>
          <c:val>
            <c:numRef>
              <c:f>Sheet1!$B$2:$B$11</c:f>
              <c:numCache>
                <c:ptCount val="9"/>
                <c:pt idx="0">
                  <c:v>0.260000</c:v>
                </c:pt>
                <c:pt idx="1">
                  <c:v>0.780000</c:v>
                </c:pt>
                <c:pt idx="2">
                  <c:v>1.300000</c:v>
                </c:pt>
                <c:pt idx="3">
                  <c:v>1.820000</c:v>
                </c:pt>
                <c:pt idx="4">
                  <c:v>2.600000</c:v>
                </c:pt>
                <c:pt idx="5">
                  <c:v>1.820000</c:v>
                </c:pt>
                <c:pt idx="6">
                  <c:v>1.300000</c:v>
                </c:pt>
                <c:pt idx="7">
                  <c:v>0.780000</c:v>
                </c:pt>
                <c:pt idx="8">
                  <c:v>0.260000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U_L</c:v>
                </c:pt>
              </c:strCache>
            </c:strRef>
          </c:tx>
          <c:spPr>
            <a:solidFill>
              <a:schemeClr val="accent2"/>
            </a:solidFill>
            <a:ln w="28575" cap="rnd">
              <a:solidFill>
                <a:schemeClr val="accent2"/>
              </a:solidFill>
              <a:prstDash val="solid"/>
              <a:round/>
            </a:ln>
            <a:effectLst/>
          </c:spPr>
          <c:marker>
            <c:symbol val="circle"/>
            <c:size val="4"/>
            <c:spPr>
              <a:solidFill>
                <a:schemeClr val="accent2"/>
              </a:solidFill>
              <a:ln w="9525" cap="flat">
                <a:solidFill>
                  <a:schemeClr val="accent2"/>
                </a:solidFill>
                <a:prstDash val="solid"/>
                <a:miter lim="800000"/>
              </a:ln>
              <a:effectLst/>
            </c:spPr>
          </c:marker>
          <c:dLbls>
            <c:numFmt formatCode="0.##" sourceLinked="0"/>
            <c:txPr>
              <a:bodyPr/>
              <a:lstStyle/>
              <a:p>
                <a:pPr>
                  <a:defRPr b="0" i="0" strike="noStrike" sz="1000" u="none">
                    <a:solidFill>
                      <a:srgbClr val="000000"/>
                    </a:solidFill>
                    <a:latin typeface="Calibri"/>
                  </a:defRPr>
                </a:pPr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Sheet1!$A$2:$A$11</c:f>
              <c:strCache>
                <c:ptCount val="10"/>
                <c:pt idx="0">
                  <c:v>107,8</c:v>
                </c:pt>
                <c:pt idx="1">
                  <c:v>321,8</c:v>
                </c:pt>
                <c:pt idx="2">
                  <c:v>527,8</c:v>
                </c:pt>
                <c:pt idx="3">
                  <c:v>760,8</c:v>
                </c:pt>
                <c:pt idx="4">
                  <c:v>2730,8</c:v>
                </c:pt>
                <c:pt idx="5">
                  <c:v>6130,8</c:v>
                </c:pt>
                <c:pt idx="6">
                  <c:v>9290,8</c:v>
                </c:pt>
                <c:pt idx="7">
                  <c:v>14690,8</c:v>
                </c:pt>
                <c:pt idx="8">
                  <c:v>30690,8</c:v>
                </c:pt>
                <c:pt idx="9">
                  <c:v>f, Гц</c:v>
                </c:pt>
              </c:strCache>
            </c:strRef>
          </c:cat>
          <c:val>
            <c:numRef>
              <c:f>Sheet1!$C$2:$C$11</c:f>
              <c:numCache>
                <c:ptCount val="9"/>
                <c:pt idx="0">
                  <c:v>0.020000</c:v>
                </c:pt>
                <c:pt idx="1">
                  <c:v>0.050000</c:v>
                </c:pt>
                <c:pt idx="2">
                  <c:v>0.140000</c:v>
                </c:pt>
                <c:pt idx="3">
                  <c:v>0.270000</c:v>
                </c:pt>
                <c:pt idx="4">
                  <c:v>1.680000</c:v>
                </c:pt>
                <c:pt idx="5">
                  <c:v>2.380000</c:v>
                </c:pt>
                <c:pt idx="6">
                  <c:v>2.620000</c:v>
                </c:pt>
                <c:pt idx="7">
                  <c:v>2.720000</c:v>
                </c:pt>
                <c:pt idx="8">
                  <c:v>2.820000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U_С</c:v>
                </c:pt>
              </c:strCache>
            </c:strRef>
          </c:tx>
          <c:spPr>
            <a:solidFill>
              <a:schemeClr val="accent3"/>
            </a:solidFill>
            <a:ln w="28575" cap="rnd">
              <a:solidFill>
                <a:schemeClr val="accent3"/>
              </a:solidFill>
              <a:prstDash val="solid"/>
              <a:round/>
            </a:ln>
            <a:effectLst/>
          </c:spPr>
          <c:marker>
            <c:symbol val="circle"/>
            <c:size val="4"/>
            <c:spPr>
              <a:solidFill>
                <a:schemeClr val="accent3"/>
              </a:solidFill>
              <a:ln w="9525" cap="flat">
                <a:solidFill>
                  <a:schemeClr val="accent3"/>
                </a:solidFill>
                <a:prstDash val="solid"/>
                <a:miter lim="800000"/>
              </a:ln>
              <a:effectLst/>
            </c:spPr>
          </c:marker>
          <c:dLbls>
            <c:numFmt formatCode="0.##" sourceLinked="0"/>
            <c:txPr>
              <a:bodyPr/>
              <a:lstStyle/>
              <a:p>
                <a:pPr>
                  <a:defRPr b="0" i="0" strike="noStrike" sz="1000" u="none">
                    <a:solidFill>
                      <a:srgbClr val="000000"/>
                    </a:solidFill>
                    <a:latin typeface="Calibri"/>
                  </a:defRPr>
                </a:pPr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Sheet1!$A$2:$A$11</c:f>
              <c:strCache>
                <c:ptCount val="10"/>
                <c:pt idx="0">
                  <c:v>107,8</c:v>
                </c:pt>
                <c:pt idx="1">
                  <c:v>321,8</c:v>
                </c:pt>
                <c:pt idx="2">
                  <c:v>527,8</c:v>
                </c:pt>
                <c:pt idx="3">
                  <c:v>760,8</c:v>
                </c:pt>
                <c:pt idx="4">
                  <c:v>2730,8</c:v>
                </c:pt>
                <c:pt idx="5">
                  <c:v>6130,8</c:v>
                </c:pt>
                <c:pt idx="6">
                  <c:v>9290,8</c:v>
                </c:pt>
                <c:pt idx="7">
                  <c:v>14690,8</c:v>
                </c:pt>
                <c:pt idx="8">
                  <c:v>30690,8</c:v>
                </c:pt>
                <c:pt idx="9">
                  <c:v>f, Гц</c:v>
                </c:pt>
              </c:strCache>
            </c:strRef>
          </c:cat>
          <c:val>
            <c:numRef>
              <c:f>Sheet1!$D$2:$D$11</c:f>
              <c:numCache>
                <c:ptCount val="9"/>
                <c:pt idx="0">
                  <c:v>2.800000</c:v>
                </c:pt>
                <c:pt idx="1">
                  <c:v>2.700000</c:v>
                </c:pt>
                <c:pt idx="2">
                  <c:v>2.660000</c:v>
                </c:pt>
                <c:pt idx="3">
                  <c:v>2.540000</c:v>
                </c:pt>
                <c:pt idx="4">
                  <c:v>1.160000</c:v>
                </c:pt>
                <c:pt idx="5">
                  <c:v>0.330000</c:v>
                </c:pt>
                <c:pt idx="6">
                  <c:v>0.150000</c:v>
                </c:pt>
                <c:pt idx="7">
                  <c:v>0.060000</c:v>
                </c:pt>
                <c:pt idx="8">
                  <c:v>0.010000</c:v>
                </c:pt>
              </c:numCache>
            </c:numRef>
          </c:val>
          <c:smooth val="0"/>
        </c:ser>
        <c:marker val="1"/>
        <c:axId val="2094734552"/>
        <c:axId val="2094734553"/>
      </c:lineChart>
      <c:catAx>
        <c:axId val="209473455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low"/>
        <c:spPr>
          <a:ln w="12700" cap="flat">
            <a:solidFill>
              <a:srgbClr val="D9D9D9"/>
            </a:solidFill>
            <a:prstDash val="solid"/>
            <a:round/>
          </a:ln>
        </c:spPr>
        <c:txPr>
          <a:bodyPr rot="0"/>
          <a:lstStyle/>
          <a:p>
            <a:pPr>
              <a:defRPr b="0" i="0" strike="noStrike" sz="900" u="none">
                <a:solidFill>
                  <a:srgbClr val="595959"/>
                </a:solidFill>
                <a:latin typeface="Calibri"/>
              </a:defRPr>
            </a:pPr>
          </a:p>
        </c:txPr>
        <c:crossAx val="2094734553"/>
        <c:crosses val="autoZero"/>
        <c:auto val="1"/>
        <c:lblAlgn val="ctr"/>
        <c:noMultiLvlLbl val="1"/>
      </c:catAx>
      <c:valAx>
        <c:axId val="2094734553"/>
        <c:scaling>
          <c:orientation val="minMax"/>
        </c:scaling>
        <c:delete val="0"/>
        <c:axPos val="l"/>
        <c:majorGridlines>
          <c:spPr>
            <a:ln w="12700" cap="flat">
              <a:solidFill>
                <a:srgbClr val="D9D9D9"/>
              </a:solidFill>
              <a:prstDash val="solid"/>
              <a:round/>
            </a:ln>
          </c:spPr>
        </c:majorGridlines>
        <c:numFmt formatCode="0.##" sourceLinked="0"/>
        <c:majorTickMark val="none"/>
        <c:minorTickMark val="none"/>
        <c:tickLblPos val="nextTo"/>
        <c:spPr>
          <a:ln w="12700" cap="flat">
            <a:noFill/>
            <a:prstDash val="solid"/>
            <a:round/>
          </a:ln>
        </c:spPr>
        <c:txPr>
          <a:bodyPr rot="0"/>
          <a:lstStyle/>
          <a:p>
            <a:pPr>
              <a:defRPr b="0" i="0" strike="noStrike" sz="900" u="none">
                <a:solidFill>
                  <a:srgbClr val="595959"/>
                </a:solidFill>
                <a:latin typeface="Calibri"/>
              </a:defRPr>
            </a:pPr>
          </a:p>
        </c:txPr>
        <c:crossAx val="2094734552"/>
        <c:crosses val="autoZero"/>
        <c:crossBetween val="between"/>
        <c:majorUnit val="0.75"/>
        <c:minorUnit val="0.375"/>
      </c:valAx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.351864"/>
          <c:y val="0.945899"/>
          <c:w val="0.338722"/>
          <c:h val="0.0541008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0" i="0" strike="noStrike" sz="900" u="none">
              <a:solidFill>
                <a:srgbClr val="595959"/>
              </a:solidFill>
              <a:latin typeface="Calibri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0" i="0" strike="noStrike" sz="1400" u="none">
                <a:solidFill>
                  <a:srgbClr val="595959"/>
                </a:solidFill>
                <a:latin typeface="Calibri"/>
              </a:defRPr>
            </a:pPr>
            <a:r>
              <a:rPr b="0" i="0" strike="noStrike" sz="1400" u="none">
                <a:solidFill>
                  <a:srgbClr val="595959"/>
                </a:solidFill>
                <a:latin typeface="Calibri"/>
              </a:rPr>
              <a:t>Зависимость фазового сдвига от частоты</a:t>
            </a:r>
          </a:p>
        </c:rich>
      </c:tx>
      <c:layout>
        <c:manualLayout>
          <c:xMode val="edge"/>
          <c:yMode val="edge"/>
          <c:x val="0.237742"/>
          <c:y val="0"/>
          <c:w val="0.524516"/>
          <c:h val="0.0970787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0593083"/>
          <c:y val="0.0970787"/>
          <c:w val="0.935692"/>
          <c:h val="0.841672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Значения Y</c:v>
                </c:pt>
              </c:strCache>
            </c:strRef>
          </c:tx>
          <c:spPr>
            <a:solidFill>
              <a:schemeClr val="accent1"/>
            </a:solidFill>
            <a:ln w="19050" cap="rnd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circle"/>
            <c:size val="4"/>
            <c:spPr>
              <a:solidFill>
                <a:schemeClr val="accent1"/>
              </a:solidFill>
              <a:ln w="9525" cap="flat">
                <a:solidFill>
                  <a:schemeClr val="accent1"/>
                </a:solidFill>
                <a:prstDash val="solid"/>
                <a:miter lim="800000"/>
              </a:ln>
              <a:effectLst/>
            </c:spPr>
          </c:marker>
          <c:dLbls>
            <c:numFmt formatCode="0.#" sourceLinked="0"/>
            <c:txPr>
              <a:bodyPr/>
              <a:lstStyle/>
              <a:p>
                <a:pPr>
                  <a:defRPr b="0" i="0" strike="noStrike" sz="1000" u="none">
                    <a:solidFill>
                      <a:srgbClr val="000000"/>
                    </a:solidFill>
                    <a:latin typeface="Calibri"/>
                  </a:defRPr>
                </a:pPr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Sheet1!$A$2:$A$11</c:f>
              <c:strCache>
                <c:ptCount val="10"/>
                <c:pt idx="0">
                  <c:v>107,8</c:v>
                </c:pt>
                <c:pt idx="1">
                  <c:v>321,8</c:v>
                </c:pt>
                <c:pt idx="2">
                  <c:v>527,8</c:v>
                </c:pt>
                <c:pt idx="3">
                  <c:v>760,8</c:v>
                </c:pt>
                <c:pt idx="4">
                  <c:v>2730,8</c:v>
                </c:pt>
                <c:pt idx="5">
                  <c:v>6130,8</c:v>
                </c:pt>
                <c:pt idx="6">
                  <c:v>9290,8</c:v>
                </c:pt>
                <c:pt idx="7">
                  <c:v>14690,8</c:v>
                </c:pt>
                <c:pt idx="8">
                  <c:v>30690,8</c:v>
                </c:pt>
                <c:pt idx="9">
                  <c:v>        f, Гц</c:v>
                </c:pt>
              </c:strCache>
            </c:strRef>
          </c:cat>
          <c:val>
            <c:numRef>
              <c:f>Sheet1!$B$2:$B$11</c:f>
              <c:numCache>
                <c:ptCount val="9"/>
                <c:pt idx="0">
                  <c:v>-86.000000</c:v>
                </c:pt>
                <c:pt idx="1">
                  <c:v>-78.000000</c:v>
                </c:pt>
                <c:pt idx="2">
                  <c:v>-75.700000</c:v>
                </c:pt>
                <c:pt idx="3">
                  <c:v>-55.000000</c:v>
                </c:pt>
                <c:pt idx="4">
                  <c:v>0.000000</c:v>
                </c:pt>
                <c:pt idx="5">
                  <c:v>56.000000</c:v>
                </c:pt>
                <c:pt idx="6">
                  <c:v>65.000000</c:v>
                </c:pt>
                <c:pt idx="7">
                  <c:v>72.000000</c:v>
                </c:pt>
                <c:pt idx="8">
                  <c:v>92.800000</c:v>
                </c:pt>
              </c:numCache>
            </c:numRef>
          </c:val>
          <c:smooth val="0"/>
        </c:ser>
        <c:marker val="1"/>
        <c:axId val="2094734552"/>
        <c:axId val="2094734553"/>
      </c:lineChart>
      <c:catAx>
        <c:axId val="2094734552"/>
        <c:scaling>
          <c:orientation val="minMax"/>
        </c:scaling>
        <c:delete val="0"/>
        <c:axPos val="b"/>
        <c:majorGridlines>
          <c:spPr>
            <a:ln w="12700" cap="flat">
              <a:solidFill>
                <a:srgbClr val="D9D9D9"/>
              </a:solidFill>
              <a:prstDash val="solid"/>
              <a:round/>
            </a:ln>
          </c:spPr>
        </c:majorGridlines>
        <c:numFmt formatCode="General" sourceLinked="0"/>
        <c:majorTickMark val="none"/>
        <c:minorTickMark val="none"/>
        <c:tickLblPos val="low"/>
        <c:spPr>
          <a:ln w="12700" cap="flat">
            <a:solidFill>
              <a:srgbClr val="BFBFBF"/>
            </a:solidFill>
            <a:prstDash val="solid"/>
            <a:round/>
          </a:ln>
        </c:spPr>
        <c:txPr>
          <a:bodyPr rot="0"/>
          <a:lstStyle/>
          <a:p>
            <a:pPr>
              <a:defRPr b="0" i="0" strike="noStrike" sz="900" u="none">
                <a:solidFill>
                  <a:srgbClr val="595959"/>
                </a:solidFill>
                <a:latin typeface="Calibri"/>
              </a:defRPr>
            </a:pPr>
          </a:p>
        </c:txPr>
        <c:crossAx val="2094734553"/>
        <c:crosses val="autoZero"/>
        <c:auto val="1"/>
        <c:lblAlgn val="ctr"/>
        <c:noMultiLvlLbl val="1"/>
      </c:catAx>
      <c:valAx>
        <c:axId val="2094734553"/>
        <c:scaling>
          <c:orientation val="minMax"/>
        </c:scaling>
        <c:delete val="0"/>
        <c:axPos val="l"/>
        <c:majorGridlines>
          <c:spPr>
            <a:ln w="12700" cap="flat">
              <a:solidFill>
                <a:srgbClr val="D9D9D9"/>
              </a:solidFill>
              <a:prstDash val="solid"/>
              <a:round/>
            </a:ln>
          </c:spPr>
        </c:majorGridlines>
        <c:numFmt formatCode="0.#" sourceLinked="0"/>
        <c:majorTickMark val="none"/>
        <c:minorTickMark val="none"/>
        <c:tickLblPos val="nextTo"/>
        <c:spPr>
          <a:ln w="12700" cap="flat">
            <a:solidFill>
              <a:srgbClr val="BFBFBF"/>
            </a:solidFill>
            <a:prstDash val="solid"/>
            <a:round/>
          </a:ln>
        </c:spPr>
        <c:txPr>
          <a:bodyPr rot="0"/>
          <a:lstStyle/>
          <a:p>
            <a:pPr>
              <a:defRPr b="0" i="0" strike="noStrike" sz="900" u="none">
                <a:solidFill>
                  <a:srgbClr val="595959"/>
                </a:solidFill>
                <a:latin typeface="Calibri"/>
              </a:defRPr>
            </a:pPr>
          </a:p>
        </c:txPr>
        <c:crossAx val="2094734552"/>
        <c:crosses val="autoZero"/>
        <c:crossBetween val="between"/>
        <c:majorUnit val="50"/>
        <c:minorUnit val="25"/>
      </c:valAx>
      <c:spPr>
        <a:noFill/>
        <a:ln w="12700" cap="flat">
          <a:noFill/>
          <a:miter lim="400000"/>
        </a:ln>
        <a:effectLst/>
      </c:spPr>
    </c:plotArea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