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ФЕДЕРАЛЬНОЕ ГОСУДАРСТВЕННОЕ БЮДЖЕТНОЕ ОБРАЗОВАТЕЛЬНОЕ УЧРЕЖДЕНИЕ ВЫСШЕГО ОБРАЗОВАНИЯ «САНКТ</w:t>
      </w:r>
      <w:r>
        <w:rPr>
          <w:rFonts w:ascii="Times New Roman" w:hAnsi="Times New Roman"/>
          <w:sz w:val="28"/>
          <w:szCs w:val="28"/>
          <w:rtl w:val="0"/>
          <w:lang w:val="ru-RU"/>
        </w:rPr>
        <w:t>-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ПЕТЕРБУРГСКИЙ ГОСУДАРСТВЕННЫЙ МОРСКОЙ ТЕХНИЧЕСКИЙ УНИВЕРСИТЕТ»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ru-RU"/>
        </w:rPr>
        <w:t>(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СПбГМТУ</w:t>
      </w:r>
      <w:r>
        <w:rPr>
          <w:rFonts w:ascii="Times New Roman" w:hAnsi="Times New Roman"/>
          <w:sz w:val="28"/>
          <w:szCs w:val="28"/>
          <w:rtl w:val="0"/>
          <w:lang w:val="ru-RU"/>
        </w:rPr>
        <w:t>)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__________________________________________________________________</w:t>
      </w:r>
    </w:p>
    <w:p>
      <w:pPr>
        <w:pStyle w:val="Основной текст A"/>
        <w:jc w:val="right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ru-RU"/>
        </w:rPr>
        <w:t>Факультет ФЦПТ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Отчёт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По лабораторной работе №</w:t>
      </w:r>
      <w:r>
        <w:rPr>
          <w:rFonts w:ascii="Times New Roman" w:hAnsi="Times New Roman"/>
          <w:sz w:val="28"/>
          <w:szCs w:val="28"/>
          <w:rtl w:val="0"/>
          <w:lang w:val="ru-RU"/>
        </w:rPr>
        <w:t>2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по теме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i w:val="1"/>
          <w:iCs w:val="1"/>
          <w:sz w:val="28"/>
          <w:szCs w:val="28"/>
          <w:rtl w:val="0"/>
          <w:lang w:val="ru-RU"/>
        </w:rPr>
        <w:t xml:space="preserve">«Исследование </w:t>
      </w:r>
      <w:r>
        <w:rPr>
          <w:rFonts w:ascii="Times New Roman" w:hAnsi="Times New Roman" w:hint="default"/>
          <w:b w:val="1"/>
          <w:bCs w:val="1"/>
          <w:i w:val="1"/>
          <w:iCs w:val="1"/>
          <w:sz w:val="28"/>
          <w:szCs w:val="28"/>
          <w:rtl w:val="0"/>
          <w:lang w:val="ru-RU"/>
        </w:rPr>
        <w:t>делителей напряжения и тока</w:t>
      </w:r>
      <w:r>
        <w:rPr>
          <w:rFonts w:ascii="Times New Roman" w:hAnsi="Times New Roman" w:hint="default"/>
          <w:b w:val="1"/>
          <w:bCs w:val="1"/>
          <w:i w:val="1"/>
          <w:iCs w:val="1"/>
          <w:sz w:val="28"/>
          <w:szCs w:val="28"/>
          <w:rtl w:val="0"/>
          <w:lang w:val="ru-RU"/>
        </w:rPr>
        <w:t>»</w:t>
      </w:r>
      <w:r>
        <w:rPr>
          <w:rFonts w:ascii="Times New Roman" w:hAnsi="Times New Roman"/>
          <w:b w:val="1"/>
          <w:bCs w:val="1"/>
          <w:i w:val="1"/>
          <w:iCs w:val="1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Выполнили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студенты группы </w:t>
      </w:r>
      <w:r>
        <w:rPr>
          <w:rFonts w:ascii="Times New Roman" w:hAnsi="Times New Roman"/>
          <w:sz w:val="28"/>
          <w:szCs w:val="28"/>
          <w:rtl w:val="0"/>
          <w:lang w:val="ru-RU"/>
        </w:rPr>
        <w:t>20250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Довбыш Александр Николаевич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Смирнов Иван Николаевич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Проверил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p>
      <w:pPr>
        <w:pStyle w:val="Основной текст A"/>
        <w:ind w:left="5387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Попов Антон Сергеевич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jc w:val="center"/>
        <w:rPr>
          <w:rFonts w:ascii="Times New Roman" w:cs="Times New Roman" w:hAnsi="Times New Roman" w:eastAsia="Times New Roman"/>
        </w:rPr>
      </w:pP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Санкт</w:t>
      </w:r>
      <w:r>
        <w:rPr>
          <w:rFonts w:ascii="Times New Roman" w:hAnsi="Times New Roman"/>
          <w:sz w:val="28"/>
          <w:szCs w:val="28"/>
          <w:rtl w:val="0"/>
          <w:lang w:val="ru-RU"/>
        </w:rPr>
        <w:t>-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Петербург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ru-RU"/>
        </w:rPr>
        <w:t>2025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Цель работы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ru-RU"/>
        </w:rPr>
        <w:t>:</w:t>
      </w: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Получить навыки расчета делителей тока и напряжения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построения потенциальных диаграмм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Освоение методов измерения потенциалов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напряжений и токов в простых цепях постоянного тока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Исходные данные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p>
      <w:pPr>
        <w:pStyle w:val="Основной текст A"/>
        <w:rPr>
          <w:rFonts w:ascii="Times New Roman" w:cs="Times New Roman" w:hAnsi="Times New Roman" w:eastAsia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Источник напряжения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 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E</m:t>
            </m:r>
          </m:e>
          <m:sub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11</m:t>
            </m:r>
          </m:sub>
        </m:sSub>
      </m:oMath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= </w:t>
      </w:r>
      <w:r>
        <w:rPr>
          <w:rFonts w:ascii="Times New Roman" w:hAnsi="Times New Roman"/>
          <w:sz w:val="28"/>
          <w:szCs w:val="28"/>
          <w:rtl w:val="0"/>
          <w:lang w:val="ru-RU"/>
        </w:rPr>
        <w:t>15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 В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rPr>
          <w:rFonts w:ascii="Times New Roman" w:cs="Times New Roman" w:hAnsi="Times New Roman" w:eastAsia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Источник напряжения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 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E</m:t>
            </m:r>
          </m:e>
          <m:sub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12</m:t>
            </m:r>
          </m:sub>
        </m:sSub>
      </m:oMath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= </w:t>
      </w:r>
      <w:r>
        <w:rPr>
          <w:rFonts w:ascii="Times New Roman" w:hAnsi="Times New Roman"/>
          <w:sz w:val="28"/>
          <w:szCs w:val="28"/>
          <w:rtl w:val="0"/>
          <w:lang w:val="ru-RU"/>
        </w:rPr>
        <w:t>-3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 В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rPr>
          <w:rFonts w:ascii="Times New Roman" w:cs="Times New Roman" w:hAnsi="Times New Roman" w:eastAsia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Источник напряжения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 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E</m:t>
            </m:r>
          </m:e>
          <m:sub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2</m:t>
            </m:r>
          </m:sub>
        </m:sSub>
      </m:oMath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= 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7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В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rPr>
          <w:rFonts w:ascii="Times New Roman" w:cs="Times New Roman" w:hAnsi="Times New Roman" w:eastAsia="Times New Roman"/>
          <w:color w:val="000000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Источник напряжения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 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E</m:t>
            </m:r>
          </m:e>
          <m:sub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3</m:t>
            </m:r>
          </m:sub>
        </m:sSub>
      </m:oMath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= </w:t>
      </w:r>
      <w:r>
        <w:rPr>
          <w:rFonts w:ascii="Times New Roman" w:hAnsi="Times New Roman"/>
          <w:sz w:val="28"/>
          <w:szCs w:val="28"/>
          <w:rtl w:val="0"/>
          <w:lang w:val="ru-RU"/>
        </w:rPr>
        <w:t>15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 В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rPr>
          <w:rFonts w:ascii="Times New Roman" w:cs="Times New Roman" w:hAnsi="Times New Roman" w:eastAsia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Сопротивление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резистора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 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R</m:t>
            </m:r>
          </m:e>
          <m:sub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1</m:t>
            </m:r>
          </m:sub>
        </m:sSub>
      </m:oMath>
      <w:r>
        <w:rPr>
          <w:rFonts w:ascii="Times New Roman" w:hAnsi="Times New Roman"/>
          <w:sz w:val="28"/>
          <w:szCs w:val="28"/>
          <w:rtl w:val="0"/>
          <w:lang w:val="ru-RU"/>
        </w:rPr>
        <w:t xml:space="preserve"> = </w:t>
      </w:r>
      <w:r>
        <w:rPr>
          <w:rFonts w:ascii="Times New Roman" w:hAnsi="Times New Roman"/>
          <w:sz w:val="28"/>
          <w:szCs w:val="28"/>
          <w:rtl w:val="0"/>
          <w:lang w:val="ru-RU"/>
        </w:rPr>
        <w:t>3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 кОм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rPr>
          <w:rFonts w:ascii="Times New Roman" w:cs="Times New Roman" w:hAnsi="Times New Roman" w:eastAsia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Сопротивление резистора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R</m:t>
            </m:r>
          </m:e>
          <m:sub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2</m:t>
            </m:r>
          </m:sub>
        </m:sSub>
      </m:oMath>
      <w:r>
        <w:rPr>
          <w:rFonts w:ascii="Times New Roman" w:hAnsi="Times New Roman"/>
          <w:sz w:val="28"/>
          <w:szCs w:val="28"/>
          <w:rtl w:val="0"/>
          <w:lang w:val="en-US"/>
        </w:rPr>
        <w:t xml:space="preserve"> = 4,2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кОм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rPr>
          <w:rFonts w:ascii="Times New Roman" w:cs="Times New Roman" w:hAnsi="Times New Roman" w:eastAsia="Times New Roman"/>
          <w:color w:val="000000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Сопротивление резистора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R</m:t>
            </m:r>
          </m:e>
          <m:sub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3</m:t>
            </m:r>
          </m:sub>
        </m:sSub>
      </m:oMath>
      <w:r>
        <w:rPr>
          <w:rFonts w:ascii="Times New Roman" w:hAnsi="Times New Roman"/>
          <w:sz w:val="28"/>
          <w:szCs w:val="28"/>
          <w:rtl w:val="0"/>
          <w:lang w:val="en-US"/>
        </w:rPr>
        <w:t xml:space="preserve"> = 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5,1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кОм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rPr>
          <w:rFonts w:ascii="Times New Roman" w:cs="Times New Roman" w:hAnsi="Times New Roman" w:eastAsia="Times New Roman"/>
          <w:color w:val="000000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Сопротивление резистора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m:oMath>
        <m:sSub>
          <m:e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R</m:t>
            </m:r>
          </m:e>
          <m:sub>
            <m:r>
              <w:rPr xmlns:w="http://schemas.openxmlformats.org/wordprocessingml/2006/main">
                <w:rFonts w:ascii="Cambria Math" w:hAnsi="Cambria Math"/>
                <w:i/>
                <w:color w:val="000000"/>
                <w:sz w:val="29"/>
                <w:szCs w:val="29"/>
              </w:rPr>
              <m:t>4</m:t>
            </m:r>
          </m:sub>
        </m:sSub>
      </m:oMath>
      <w:r>
        <w:rPr>
          <w:rFonts w:ascii="Times New Roman" w:hAnsi="Times New Roman"/>
          <w:sz w:val="28"/>
          <w:szCs w:val="28"/>
          <w:rtl w:val="0"/>
          <w:lang w:val="en-US"/>
        </w:rPr>
        <w:t xml:space="preserve"> = </w:t>
      </w:r>
      <w:r>
        <w:rPr>
          <w:rFonts w:ascii="Times New Roman" w:hAnsi="Times New Roman"/>
          <w:sz w:val="28"/>
          <w:szCs w:val="28"/>
          <w:rtl w:val="0"/>
          <w:lang w:val="ru-RU"/>
        </w:rPr>
        <w:t>6,2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кОм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Исследование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 xml:space="preserve"> делителя напряжения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Для проведения измерений и исследования была собрана электрическая схема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принципиальная схема которой представлена ниже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ind w:left="360" w:firstLine="0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drawing xmlns:a="http://schemas.openxmlformats.org/drawingml/2006/main">
          <wp:inline distT="0" distB="0" distL="0" distR="0">
            <wp:extent cx="5707253" cy="2651060"/>
            <wp:effectExtent l="0" t="0" r="0" b="0"/>
            <wp:docPr id="1073741825" name="officeArt object" descr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Рисунок 4" descr="Рисунок 4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7253" cy="26510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Основной текст A"/>
        <w:ind w:left="360" w:firstLine="0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Рисунок 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1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– Принципиальная электрическая схема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делителя напряжения</w:t>
      </w:r>
    </w:p>
    <w:p>
      <w:pPr>
        <w:pStyle w:val="Основной текст A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Были произведены замеры и расчёты при различных значениях потенциометра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p>
      <w:pPr>
        <w:pStyle w:val="Основной текст A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</w:p>
    <w:tbl>
      <w:tblPr>
        <w:tblW w:w="9117" w:type="dxa"/>
        <w:jc w:val="left"/>
        <w:tblInd w:w="329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549"/>
        <w:gridCol w:w="965"/>
        <w:gridCol w:w="984"/>
        <w:gridCol w:w="1084"/>
        <w:gridCol w:w="1207"/>
        <w:gridCol w:w="1109"/>
        <w:gridCol w:w="1109"/>
        <w:gridCol w:w="1110"/>
      </w:tblGrid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5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rtl w:val="0"/>
                <w:lang w:val="en-US"/>
              </w:rPr>
              <w:t>Параметр</w:t>
            </w:r>
          </w:p>
        </w:tc>
        <w:tc>
          <w:tcPr>
            <w:tcW w:type="dxa" w:w="9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I</w:t>
            </w:r>
          </w:p>
        </w:tc>
        <w:tc>
          <w:tcPr>
            <w:tcW w:type="dxa" w:w="9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2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ϕ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type="dxa" w:w="10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2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ϕ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B</m:t>
                    </m:r>
                  </m:sub>
                </m:sSub>
              </m:oMath>
            </m:oMathPara>
          </w:p>
        </w:tc>
        <w:tc>
          <w:tcPr>
            <w:tcW w:type="dxa" w:w="12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2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ϕ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color w:val="000000"/>
                <w:sz w:val="22"/>
                <w:rtl w:val="0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ϕ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D</m:t>
                    </m:r>
                  </m:sub>
                </m:sSub>
              </m:oMath>
            </m:oMathPara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color w:val="000000"/>
                <w:sz w:val="22"/>
                <w:rtl w:val="0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ϕ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O</m:t>
                    </m:r>
                  </m:sub>
                </m:sSub>
              </m:oMath>
            </m:oMathPara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color w:val="000000"/>
                <w:sz w:val="22"/>
                <w:rtl w:val="0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U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A</m:t>
                    </m:r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B</m:t>
                    </m:r>
                  </m:sub>
                </m:sSub>
              </m:oMath>
            </m:oMathPara>
          </w:p>
        </w:tc>
      </w:tr>
      <w:tr>
        <w:tblPrEx>
          <w:shd w:val="clear" w:color="auto" w:fill="cdd4e9"/>
        </w:tblPrEx>
        <w:trPr>
          <w:trHeight w:val="328" w:hRule="atLeast"/>
        </w:trPr>
        <w:tc>
          <w:tcPr>
            <w:tcW w:type="dxa" w:w="15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Расчет</w:t>
            </w:r>
          </w:p>
        </w:tc>
        <w:tc>
          <w:tcPr>
            <w:tcW w:type="dxa" w:w="9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0,81</w:t>
            </w:r>
          </w:p>
        </w:tc>
        <w:tc>
          <w:tcPr>
            <w:tcW w:type="dxa" w:w="9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15</w:t>
            </w:r>
          </w:p>
        </w:tc>
        <w:tc>
          <w:tcPr>
            <w:tcW w:type="dxa" w:w="10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12,55</w:t>
            </w:r>
          </w:p>
        </w:tc>
        <w:tc>
          <w:tcPr>
            <w:tcW w:type="dxa" w:w="12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9,15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5,02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2,43</w:t>
            </w:r>
          </w:p>
        </w:tc>
      </w:tr>
      <w:tr>
        <w:tblPrEx>
          <w:shd w:val="clear" w:color="auto" w:fill="cdd4e9"/>
        </w:tblPrEx>
        <w:trPr>
          <w:trHeight w:val="328" w:hRule="atLeast"/>
        </w:trPr>
        <w:tc>
          <w:tcPr>
            <w:tcW w:type="dxa" w:w="15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rtl w:val="0"/>
                <w:lang w:val="en-US"/>
              </w:rPr>
              <w:t>Измерение</w:t>
            </w:r>
          </w:p>
        </w:tc>
        <w:tc>
          <w:tcPr>
            <w:tcW w:type="dxa" w:w="9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0,5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8</w:t>
            </w:r>
          </w:p>
        </w:tc>
        <w:tc>
          <w:tcPr>
            <w:tcW w:type="dxa" w:w="9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15,06</w:t>
            </w:r>
          </w:p>
        </w:tc>
        <w:tc>
          <w:tcPr>
            <w:tcW w:type="dxa" w:w="10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12,60</w:t>
            </w:r>
          </w:p>
        </w:tc>
        <w:tc>
          <w:tcPr>
            <w:tcW w:type="dxa" w:w="12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9,27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5,06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2,47</w:t>
            </w:r>
          </w:p>
        </w:tc>
      </w:tr>
      <w:tr>
        <w:tblPrEx>
          <w:shd w:val="clear" w:color="auto" w:fill="cdd4e9"/>
        </w:tblPrEx>
        <w:trPr>
          <w:trHeight w:val="328" w:hRule="atLeast"/>
        </w:trPr>
        <w:tc>
          <w:tcPr>
            <w:tcW w:type="dxa" w:w="15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rtl w:val="0"/>
              </w:rPr>
              <w:t>Расчет</w:t>
            </w:r>
          </w:p>
        </w:tc>
        <w:tc>
          <w:tcPr>
            <w:tcW w:type="dxa" w:w="9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</w:rPr>
              <w:t>1,26</w:t>
            </w:r>
          </w:p>
        </w:tc>
        <w:tc>
          <w:tcPr>
            <w:tcW w:type="dxa" w:w="9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</w:rPr>
              <w:t>15</w:t>
            </w:r>
          </w:p>
        </w:tc>
        <w:tc>
          <w:tcPr>
            <w:tcW w:type="dxa" w:w="10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</w:rPr>
              <w:t>11,22</w:t>
            </w:r>
          </w:p>
        </w:tc>
        <w:tc>
          <w:tcPr>
            <w:tcW w:type="dxa" w:w="12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</w:rPr>
              <w:t>14,22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7,8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0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3,78</w:t>
            </w:r>
          </w:p>
        </w:tc>
      </w:tr>
      <w:tr>
        <w:tblPrEx>
          <w:shd w:val="clear" w:color="auto" w:fill="cdd4e9"/>
        </w:tblPrEx>
        <w:trPr>
          <w:trHeight w:val="328" w:hRule="atLeast"/>
        </w:trPr>
        <w:tc>
          <w:tcPr>
            <w:tcW w:type="dxa" w:w="15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Измерение</w:t>
            </w:r>
          </w:p>
        </w:tc>
        <w:tc>
          <w:tcPr>
            <w:tcW w:type="dxa" w:w="9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</w:rPr>
              <w:t>0,9</w:t>
            </w:r>
          </w:p>
        </w:tc>
        <w:tc>
          <w:tcPr>
            <w:tcW w:type="dxa" w:w="9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15,07</w:t>
            </w:r>
          </w:p>
        </w:tc>
        <w:tc>
          <w:tcPr>
            <w:tcW w:type="dxa" w:w="10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11,27</w:t>
            </w:r>
          </w:p>
        </w:tc>
        <w:tc>
          <w:tcPr>
            <w:tcW w:type="dxa" w:w="12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14,32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7,8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1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3,81</w:t>
            </w:r>
          </w:p>
        </w:tc>
      </w:tr>
    </w:tbl>
    <w:p>
      <w:pPr>
        <w:pStyle w:val="Основной текст A"/>
        <w:widowControl w:val="0"/>
        <w:spacing w:line="240" w:lineRule="auto"/>
        <w:ind w:left="221" w:hanging="221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widowControl w:val="0"/>
        <w:spacing w:line="240" w:lineRule="auto"/>
        <w:ind w:left="113" w:hanging="113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Текст1"/>
        <w:ind w:firstLine="0"/>
      </w:pPr>
    </w:p>
    <w:p>
      <w:pPr>
        <w:pStyle w:val="Текст1"/>
      </w:pPr>
      <w:r>
        <w:rPr>
          <w:rFonts w:cs="Arial Unicode MS" w:eastAsia="Arial Unicode MS" w:hint="default"/>
          <w:rtl w:val="0"/>
          <w:lang w:val="ru-RU"/>
        </w:rPr>
        <w:t>Ток в схеме протекает последовательно через потенциометр и сопротивление нагрузки</w:t>
      </w:r>
      <w:r>
        <w:rPr>
          <w:rFonts w:cs="Arial Unicode MS" w:eastAsia="Arial Unicode MS"/>
          <w:rtl w:val="0"/>
          <w:lang w:val="ru-RU"/>
        </w:rPr>
        <w:t xml:space="preserve">, </w:t>
      </w:r>
      <w:r>
        <w:rPr>
          <w:rFonts w:cs="Arial Unicode MS" w:eastAsia="Arial Unicode MS" w:hint="default"/>
          <w:rtl w:val="0"/>
          <w:lang w:val="ru-RU"/>
        </w:rPr>
        <w:t>поэтому</w:t>
      </w:r>
      <w:r>
        <w:rPr>
          <w:rFonts w:cs="Arial Unicode MS" w:eastAsia="Arial Unicode MS"/>
          <w:rtl w:val="0"/>
          <w:lang w:val="ru-RU"/>
        </w:rPr>
        <w:t>: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E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11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1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2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3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4</m:t>
                  </m:r>
                </m:sub>
              </m:sSub>
            </m:den>
          </m:f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A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E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11</m:t>
              </m:r>
            </m:sub>
          </m:sSub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A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1</m:t>
              </m:r>
            </m:sub>
          </m:sSub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2</m:t>
              </m:r>
            </m:sub>
          </m:sSub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D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3</m:t>
              </m:r>
            </m:sub>
          </m:sSub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0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D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4</m:t>
              </m:r>
            </m:sub>
          </m:sSub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A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1</m:t>
              </m:r>
            </m:sub>
          </m:sSub>
        </m:oMath>
      </m:oMathPara>
    </w:p>
    <w:p>
      <w:pPr>
        <w:pStyle w:val="Текст1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cs="Arial Unicode MS" w:eastAsia="Arial Unicode MS" w:hint="default"/>
          <w:rtl w:val="0"/>
          <w:lang w:val="ru-RU"/>
        </w:rPr>
        <w:t>Ток в схеме протекает последовательно через потенциометр и сопротивление нагрузки</w:t>
      </w:r>
      <w:r>
        <w:rPr>
          <w:rFonts w:cs="Arial Unicode MS" w:eastAsia="Arial Unicode MS"/>
          <w:rtl w:val="0"/>
          <w:lang w:val="ru-RU"/>
        </w:rPr>
        <w:t xml:space="preserve">, </w:t>
      </w:r>
      <w:r>
        <w:rPr>
          <w:rFonts w:cs="Arial Unicode MS" w:eastAsia="Arial Unicode MS" w:hint="default"/>
          <w:rtl w:val="0"/>
          <w:lang w:val="ru-RU"/>
        </w:rPr>
        <w:t>поэтому</w:t>
      </w:r>
      <w:r>
        <w:rPr>
          <w:rFonts w:cs="Arial Unicode MS" w:eastAsia="Arial Unicode MS"/>
          <w:rtl w:val="0"/>
          <w:lang w:val="ru-RU"/>
        </w:rPr>
        <w:t>: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E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11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-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E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12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1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3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5"/>
                      <w:szCs w:val="25"/>
                    </w:rPr>
                    <m:t>4</m:t>
                  </m:r>
                </m:sub>
              </m:sSub>
            </m:den>
          </m:f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A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E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11</m:t>
              </m:r>
            </m:sub>
          </m:sSub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A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1</m:t>
              </m:r>
            </m:sub>
          </m:sSub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-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E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12</m:t>
              </m:r>
            </m:sub>
          </m:sSub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D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3</m:t>
              </m:r>
            </m:sub>
          </m:sSub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0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D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4</m:t>
              </m:r>
            </m:sub>
          </m:sSub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A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5"/>
              <w:szCs w:val="25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5"/>
                  <w:szCs w:val="25"/>
                </w:rPr>
                <m:t>1</m:t>
              </m:r>
            </m:sub>
          </m:sSub>
        </m:oMath>
      </m:oMathPara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sz w:val="28"/>
          <w:szCs w:val="28"/>
          <w:vertAlign w:val="subscript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Проведем расчёт для разных сопротивлений </w:t>
      </w:r>
      <w:r>
        <w:rPr>
          <w:rFonts w:ascii="Times New Roman" w:hAnsi="Times New Roman"/>
          <w:sz w:val="28"/>
          <w:szCs w:val="28"/>
          <w:rtl w:val="0"/>
          <w:lang w:val="en-US"/>
        </w:rPr>
        <w:t>R</w:t>
      </w:r>
      <w:r>
        <w:rPr>
          <w:rFonts w:ascii="Times New Roman" w:hAnsi="Times New Roman"/>
          <w:sz w:val="28"/>
          <w:szCs w:val="28"/>
          <w:vertAlign w:val="subscript"/>
          <w:rtl w:val="0"/>
          <w:lang w:val="ru-RU"/>
        </w:rPr>
        <w:t>1: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</w:rPr>
      </w:pPr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E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11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1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2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3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4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15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3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4,2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5,1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6,2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0,81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А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A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E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15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A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15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0,81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3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12,55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2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12,55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0,81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4,2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9,15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D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3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9,15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0,81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5,1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5,02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0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D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4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5,02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0,81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6,2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0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A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0,81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3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2,43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List Paragraph"/>
        <w:ind w:left="0" w:firstLine="0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Основной текст A"/>
        <w:jc w:val="both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Теперь проведем расчёт </w:t>
      </w:r>
      <w:r>
        <w:rPr>
          <w:rFonts w:ascii="Times New Roman" w:hAnsi="Times New Roman"/>
          <w:sz w:val="28"/>
          <w:szCs w:val="28"/>
          <w:rtl w:val="0"/>
          <w:lang w:val="en-US"/>
        </w:rPr>
        <w:t>U</w:t>
      </w:r>
      <w:r>
        <w:rPr>
          <w:rFonts w:ascii="Times New Roman" w:hAnsi="Times New Roman" w:hint="default"/>
          <w:sz w:val="28"/>
          <w:szCs w:val="28"/>
          <w:vertAlign w:val="subscript"/>
          <w:rtl w:val="0"/>
          <w:lang w:val="ru-RU"/>
        </w:rPr>
        <w:t xml:space="preserve">н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по формуле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p>
      <w:pPr>
        <w:pStyle w:val="List Paragraph"/>
        <w:jc w:val="both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E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11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-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E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12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1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3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  <m:t>4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15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(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-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3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)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3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5,1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6,2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1,26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А</m:t>
          </m:r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A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E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15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A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15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1.26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3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11.22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E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12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11,22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(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3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)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14,22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D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3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14,22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1,26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5,1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7.8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0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D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4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7,8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-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1,26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6,2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0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U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A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8"/>
                  <w:szCs w:val="28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1,26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3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3,78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8"/>
              <w:szCs w:val="28"/>
            </w:rPr>
            <m:t>В</m:t>
          </m:r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Диаграмма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  <w:r>
        <w:drawing xmlns:a="http://schemas.openxmlformats.org/drawingml/2006/main">
          <wp:inline distT="0" distB="0" distL="0" distR="0">
            <wp:extent cx="5334147" cy="2562361"/>
            <wp:effectExtent l="0" t="0" r="0" b="0"/>
            <wp:docPr id="1073741826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5"/>
              </a:graphicData>
            </a:graphic>
          </wp:inline>
        </w:drawing>
      </w:r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Основной текст A"/>
        <w:rPr>
          <w:rFonts w:ascii="Times New Roman" w:cs="Times New Roman" w:hAnsi="Times New Roman" w:eastAsia="Times New Roman"/>
        </w:rPr>
      </w:pPr>
    </w:p>
    <w:p>
      <w:pPr>
        <w:pStyle w:val="List Paragraph"/>
        <w:numPr>
          <w:ilvl w:val="0"/>
          <w:numId w:val="3"/>
        </w:numPr>
        <w:bidi w:val="0"/>
        <w:ind w:right="0"/>
        <w:jc w:val="left"/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 xml:space="preserve">Исследование схемы 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делителя тока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Для проведения измерений и исследования была собрана электрическая схема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принципиальная схема которой представлена ниже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Основной текст A"/>
        <w:ind w:left="360" w:firstLine="0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drawing xmlns:a="http://schemas.openxmlformats.org/drawingml/2006/main">
          <wp:inline distT="0" distB="0" distL="0" distR="0">
            <wp:extent cx="5707253" cy="2624824"/>
            <wp:effectExtent l="0" t="0" r="0" b="0"/>
            <wp:docPr id="1073741827" name="officeArt object" descr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Рисунок 1" descr="Рисунок 1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7253" cy="262482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Основной текст A"/>
        <w:ind w:left="360" w:firstLine="0"/>
        <w:jc w:val="center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Рисунок 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2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– Принципиальная электрическая схема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делителя тока</w:t>
      </w:r>
    </w:p>
    <w:p>
      <w:pPr>
        <w:pStyle w:val="Основной текст A"/>
        <w:ind w:left="360" w:firstLine="0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Были произведены замеры и расчёты при различных значениях потенциометра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tbl>
      <w:tblPr>
        <w:tblW w:w="9117" w:type="dxa"/>
        <w:jc w:val="left"/>
        <w:tblInd w:w="329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2440"/>
        <w:gridCol w:w="1519"/>
        <w:gridCol w:w="1551"/>
        <w:gridCol w:w="1706"/>
        <w:gridCol w:w="1901"/>
      </w:tblGrid>
      <w:tr>
        <w:tblPrEx>
          <w:shd w:val="clear" w:color="auto" w:fill="cdd4e9"/>
        </w:tblPrEx>
        <w:trPr>
          <w:trHeight w:val="401" w:hRule="atLeast"/>
        </w:trPr>
        <w:tc>
          <w:tcPr>
            <w:tcW w:type="dxa" w:w="2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rtl w:val="0"/>
                <w:lang w:val="en-US"/>
              </w:rPr>
              <w:t>Параметр</w:t>
            </w:r>
          </w:p>
        </w:tc>
        <w:tc>
          <w:tcPr>
            <w:tcW w:type="dxa" w:w="1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8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I</m:t>
                    </m:r>
                  </m:e>
                  <m:sub>
                    <m:r>
                      <m:rPr>
                        <m:nor/>
                      </m:rP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9"/>
                        <w:szCs w:val="29"/>
                      </w:rPr>
                      <m:t>общ</m:t>
                    </m:r>
                  </m:sub>
                </m:sSub>
              </m:oMath>
            </m:oMathPara>
          </w:p>
        </w:tc>
        <w:tc>
          <w:tcPr>
            <w:tcW w:type="dxa" w:w="15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2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I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2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I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type="dxa" w:w="19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2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I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3</m:t>
                    </m:r>
                  </m:sub>
                </m:sSub>
              </m:oMath>
            </m:oMathPara>
          </w:p>
        </w:tc>
      </w:tr>
      <w:tr>
        <w:tblPrEx>
          <w:shd w:val="clear" w:color="auto" w:fill="cdd4e9"/>
        </w:tblPrEx>
        <w:trPr>
          <w:trHeight w:val="328" w:hRule="atLeast"/>
        </w:trPr>
        <w:tc>
          <w:tcPr>
            <w:tcW w:type="dxa" w:w="2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Расчет</w:t>
            </w:r>
          </w:p>
        </w:tc>
        <w:tc>
          <w:tcPr>
            <w:tcW w:type="dxa" w:w="1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5,37</w:t>
            </w:r>
          </w:p>
        </w:tc>
        <w:tc>
          <w:tcPr>
            <w:tcW w:type="dxa" w:w="15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2,33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1,71</w:t>
            </w:r>
          </w:p>
        </w:tc>
        <w:tc>
          <w:tcPr>
            <w:tcW w:type="dxa" w:w="19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1,37</w:t>
            </w:r>
          </w:p>
        </w:tc>
      </w:tr>
      <w:tr>
        <w:tblPrEx>
          <w:shd w:val="clear" w:color="auto" w:fill="cdd4e9"/>
        </w:tblPrEx>
        <w:trPr>
          <w:trHeight w:val="328" w:hRule="atLeast"/>
        </w:trPr>
        <w:tc>
          <w:tcPr>
            <w:tcW w:type="dxa" w:w="2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rtl w:val="0"/>
                <w:lang w:val="en-US"/>
              </w:rPr>
              <w:t>Измерение</w:t>
            </w:r>
          </w:p>
        </w:tc>
        <w:tc>
          <w:tcPr>
            <w:tcW w:type="dxa" w:w="15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5,3</w:t>
            </w:r>
          </w:p>
        </w:tc>
        <w:tc>
          <w:tcPr>
            <w:tcW w:type="dxa" w:w="15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2,31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1,71</w:t>
            </w:r>
          </w:p>
        </w:tc>
        <w:tc>
          <w:tcPr>
            <w:tcW w:type="dxa" w:w="19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1,36</w:t>
            </w:r>
          </w:p>
        </w:tc>
      </w:tr>
    </w:tbl>
    <w:p>
      <w:pPr>
        <w:pStyle w:val="Основной текст A"/>
        <w:widowControl w:val="0"/>
        <w:spacing w:line="240" w:lineRule="auto"/>
        <w:ind w:left="221" w:hanging="221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widowControl w:val="0"/>
        <w:spacing w:line="240" w:lineRule="auto"/>
        <w:ind w:left="113" w:hanging="113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jc w:val="both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сновной текст A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  <w:lang w:val="en-US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Для схемы</w:t>
      </w:r>
      <w:r>
        <w:rPr>
          <w:rFonts w:ascii="Times New Roman" w:hAnsi="Times New Roman"/>
          <w:rtl w:val="0"/>
          <w:lang w:val="ru-RU"/>
        </w:rPr>
        <w:t xml:space="preserve">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 xml:space="preserve">делителя тока </w:t>
      </w:r>
      <w:r>
        <w:rPr>
          <w:rFonts w:ascii="Times New Roman" w:hAnsi="Times New Roman"/>
          <w:sz w:val="28"/>
          <w:szCs w:val="28"/>
          <w:rtl w:val="0"/>
          <w:lang w:val="en-US"/>
        </w:rPr>
        <w:t>I</w:t>
      </w:r>
      <w:r>
        <w:rPr>
          <w:rFonts w:ascii="Times New Roman" w:hAnsi="Times New Roman" w:hint="default"/>
          <w:sz w:val="28"/>
          <w:szCs w:val="28"/>
          <w:rtl w:val="0"/>
          <w:lang w:val="en-US"/>
        </w:rPr>
        <w:t xml:space="preserve"> общая равна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: </w:t>
      </w:r>
    </w:p>
    <w:p>
      <w:pPr>
        <w:pStyle w:val="Основной текст A"/>
        <w:jc w:val="center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1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2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3</m:t>
                  </m:r>
                </m:sub>
              </m:sSub>
            </m:den>
          </m:f>
        </m:oMath>
      </m:oMathPara>
    </w:p>
    <w:p>
      <w:pPr>
        <w:pStyle w:val="Основной текст A"/>
        <w:ind w:left="360" w:firstLine="0"/>
        <w:jc w:val="both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А токи через элементы делителя тока равны</w:t>
      </w:r>
      <w:r>
        <w:rPr>
          <w:rFonts w:ascii="Times New Roman" w:hAnsi="Times New Roman"/>
          <w:sz w:val="28"/>
          <w:szCs w:val="28"/>
          <w:rtl w:val="0"/>
          <w:lang w:val="en-US"/>
        </w:rPr>
        <w:t xml:space="preserve">: </w:t>
      </w:r>
    </w:p>
    <w:p>
      <w:pPr>
        <w:pStyle w:val="Основной текст A"/>
        <w:ind w:left="360" w:firstLine="0"/>
        <w:jc w:val="center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1</m:t>
                  </m:r>
                </m:sub>
              </m:sSub>
            </m:den>
          </m:f>
        </m:oMath>
      </m:oMathPara>
    </w:p>
    <w:p>
      <w:pPr>
        <w:pStyle w:val="Основной текст A"/>
        <w:ind w:left="360" w:firstLine="0"/>
        <w:jc w:val="center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2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2</m:t>
                  </m:r>
                </m:sub>
              </m:sSub>
            </m:den>
          </m:f>
        </m:oMath>
      </m:oMathPara>
    </w:p>
    <w:p>
      <w:pPr>
        <w:pStyle w:val="Основной текст A"/>
        <w:ind w:left="360" w:firstLine="0"/>
        <w:jc w:val="center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3</m:t>
                  </m:r>
                </m:sub>
              </m:sSub>
            </m:den>
          </m:f>
        </m:oMath>
      </m:oMathPara>
    </w:p>
    <w:p>
      <w:pPr>
        <w:pStyle w:val="Основной текст A"/>
        <w:ind w:left="360" w:firstLine="0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Основной текст A"/>
        <w:ind w:left="360" w:firstLine="0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Основной текст A"/>
        <w:ind w:left="360" w:firstLine="0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Основной текст A"/>
        <w:ind w:left="360" w:firstLine="0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ru-RU"/>
          <w14:textFill>
            <w14:solidFill>
              <w14:srgbClr w14:val="000000"/>
            </w14:solidFill>
          </w14:textFill>
        </w:rPr>
        <w:t>Проведем расчеты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ru-RU"/>
          <w14:textFill>
            <w14:solidFill>
              <w14:srgbClr w14:val="000000"/>
            </w14:solidFill>
          </w14:textFill>
        </w:rPr>
        <w:t>:</w:t>
      </w:r>
    </w:p>
    <w:p>
      <w:pPr>
        <w:pStyle w:val="Основной текст A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Основной текст A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I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1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2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3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4,2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5,1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5,37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А</m:t>
          </m:r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1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2,33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А</m:t>
          </m:r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2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2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4,1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1,71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А</m:t>
          </m:r>
        </m:oMath>
      </m:oMathPara>
    </w:p>
    <w:p>
      <w:pPr>
        <w:pStyle w:val="Основной текст A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3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7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5,1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1,37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А</m:t>
          </m:r>
        </m:oMath>
      </m:oMathPara>
    </w:p>
    <w:p>
      <w:pPr>
        <w:pStyle w:val="По умолчанию"/>
        <w:bidi w:val="0"/>
        <w:spacing w:before="0" w:after="200" w:line="276" w:lineRule="auto"/>
        <w:ind w:left="0" w:right="0" w:firstLine="0"/>
        <w:jc w:val="both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:rtl w:val="0"/>
          <w:lang w:val="ru-RU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z w:val="24"/>
          <w:szCs w:val="24"/>
          <w:u w:color="000000"/>
          <w:rtl w:val="0"/>
          <w:lang w:val="ru-RU"/>
        </w:rPr>
        <w:t xml:space="preserve">       </w:t>
      </w:r>
    </w:p>
    <w:p>
      <w:pPr>
        <w:pStyle w:val="Основной текст A"/>
        <w:rPr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 xml:space="preserve">Исследование 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разветвленной цепи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ru-RU"/>
        </w:rPr>
        <w:t>.</w:t>
      </w:r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Для проведения измерений и исследования была собрана электрическая схема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принципиальная схема которой представлена ниже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tbl>
      <w:tblPr>
        <w:tblW w:w="9117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672"/>
        <w:gridCol w:w="1063"/>
        <w:gridCol w:w="1170"/>
        <w:gridCol w:w="1303"/>
        <w:gridCol w:w="1303"/>
        <w:gridCol w:w="1303"/>
        <w:gridCol w:w="1303"/>
      </w:tblGrid>
      <w:tr>
        <w:tblPrEx>
          <w:shd w:val="clear" w:color="auto" w:fill="cdd4e9"/>
        </w:tblPrEx>
        <w:trPr>
          <w:trHeight w:val="318" w:hRule="atLeast"/>
        </w:trPr>
        <w:tc>
          <w:tcPr>
            <w:tcW w:type="dxa" w:w="16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rtl w:val="0"/>
                <w:lang w:val="en-US"/>
              </w:rPr>
              <w:t>Параметр</w:t>
            </w:r>
          </w:p>
        </w:tc>
        <w:tc>
          <w:tcPr>
            <w:tcW w:type="dxa" w:w="10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2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I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type="dxa" w:w="11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2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I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  <w:rPr>
                <w:color w:val="000000"/>
                <w:sz w:val="22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I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color w:val="000000"/>
                <w:sz w:val="22"/>
                <w:rtl w:val="0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ϕ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color w:val="000000"/>
                <w:sz w:val="22"/>
                <w:rtl w:val="0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ϕ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B</m:t>
                    </m:r>
                  </m:sub>
                </m:sSub>
              </m:oMath>
            </m:oMathPara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1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color w:val="000000"/>
                <w:sz w:val="22"/>
                <w:rtl w:val="0"/>
              </w:rPr>
            </w:pPr>
            <m:oMathPara>
              <m:oMathParaPr>
                <m:jc m:val="center"/>
              </m:oMathParaPr>
              <m:oMath>
                <m:sSub>
                  <m:e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ϕ</m:t>
                    </m:r>
                  </m:e>
                  <m:sub>
                    <m:r>
                      <w:rPr xmlns:w="http://schemas.openxmlformats.org/wordprocessingml/2006/main">
                        <w:rFonts w:ascii="Cambria Math" w:hAnsi="Cambria Math"/>
                        <w:i/>
                        <w:color w:val="000000"/>
                        <w:sz w:val="23"/>
                        <w:szCs w:val="23"/>
                      </w:rPr>
                      <m:t>B</m:t>
                    </m:r>
                  </m:sub>
                </m:sSub>
              </m:oMath>
            </m:oMathPara>
          </w:p>
        </w:tc>
      </w:tr>
      <w:tr>
        <w:tblPrEx>
          <w:shd w:val="clear" w:color="auto" w:fill="cdd4e9"/>
        </w:tblPrEx>
        <w:trPr>
          <w:trHeight w:val="328" w:hRule="atLeast"/>
        </w:trPr>
        <w:tc>
          <w:tcPr>
            <w:tcW w:type="dxa" w:w="16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Расчет</w:t>
            </w:r>
          </w:p>
        </w:tc>
        <w:tc>
          <w:tcPr>
            <w:tcW w:type="dxa" w:w="10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2,47</w:t>
            </w:r>
          </w:p>
        </w:tc>
        <w:tc>
          <w:tcPr>
            <w:tcW w:type="dxa" w:w="11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1,8</w:t>
            </w:r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0.67</w:t>
            </w:r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15</w:t>
            </w:r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7,58</w:t>
            </w:r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4,16</w:t>
            </w:r>
          </w:p>
        </w:tc>
      </w:tr>
      <w:tr>
        <w:tblPrEx>
          <w:shd w:val="clear" w:color="auto" w:fill="cdd4e9"/>
        </w:tblPrEx>
        <w:trPr>
          <w:trHeight w:val="328" w:hRule="atLeast"/>
        </w:trPr>
        <w:tc>
          <w:tcPr>
            <w:tcW w:type="dxa" w:w="16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 w:hint="default"/>
                <w:sz w:val="28"/>
                <w:szCs w:val="28"/>
                <w:rtl w:val="0"/>
                <w:lang w:val="en-US"/>
              </w:rPr>
              <w:t>Измерение</w:t>
            </w:r>
          </w:p>
        </w:tc>
        <w:tc>
          <w:tcPr>
            <w:tcW w:type="dxa" w:w="10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2,48</w:t>
            </w:r>
          </w:p>
        </w:tc>
        <w:tc>
          <w:tcPr>
            <w:tcW w:type="dxa" w:w="11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1,83</w:t>
            </w:r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0,67</w:t>
            </w:r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15,06</w:t>
            </w:r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7,51</w:t>
            </w:r>
          </w:p>
        </w:tc>
        <w:tc>
          <w:tcPr>
            <w:tcW w:type="dxa" w:w="13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сновной текст A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  <w:rtl w:val="0"/>
                <w:lang w:val="en-US"/>
              </w:rPr>
              <w:t>4,07</w:t>
            </w:r>
          </w:p>
        </w:tc>
      </w:tr>
    </w:tbl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List Paragraph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34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4</m:t>
              </m:r>
            </m:sub>
          </m:sSub>
        </m:oMath>
      </m:oMathPara>
    </w:p>
    <w:p>
      <w:pPr>
        <w:pStyle w:val="List Paragraph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пар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2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⋅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34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2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34</m:t>
                  </m:r>
                </m:sub>
              </m:sSub>
            </m:den>
          </m:f>
        </m:oMath>
      </m:oMathPara>
    </w:p>
    <w:p>
      <w:pPr>
        <w:pStyle w:val="List Paragraph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экв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пар</m:t>
              </m:r>
            </m:sub>
          </m:sSub>
        </m:oMath>
      </m:oMathPara>
    </w:p>
    <w:p>
      <w:pPr>
        <w:pStyle w:val="List Paragraph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A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E</m:t>
          </m:r>
        </m:oMath>
      </m:oMathPara>
    </w:p>
    <w:p>
      <w:pPr>
        <w:pStyle w:val="List Paragraph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пар</m:t>
              </m:r>
            </m:sub>
          </m:sSub>
        </m:oMath>
      </m:oMathPara>
    </w:p>
    <w:p>
      <w:pPr>
        <w:pStyle w:val="List Paragraph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4</m:t>
              </m:r>
            </m:sub>
          </m:sSub>
        </m:oMath>
      </m:oMathPara>
    </w:p>
    <w:p>
      <w:pPr>
        <w:pStyle w:val="List Paragraph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экв</m:t>
                  </m:r>
                </m:sub>
              </m:sSub>
            </m:den>
          </m:f>
        </m:oMath>
      </m:oMathPara>
    </w:p>
    <w:p>
      <w:pPr>
        <w:pStyle w:val="List Paragraph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2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ϕ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B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2</m:t>
                  </m:r>
                </m:sub>
              </m:sSub>
            </m:den>
          </m:f>
        </m:oMath>
      </m:oMathPara>
    </w:p>
    <w:p>
      <w:pPr>
        <w:pStyle w:val="List Paragraph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center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ϕ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B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34</m:t>
                  </m:r>
                </m:sub>
              </m:sSub>
            </m:den>
          </m:f>
        </m:oMath>
      </m:oMathPara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Проведем вычисления</w:t>
      </w:r>
      <w:r>
        <w:rPr>
          <w:rFonts w:ascii="Times New Roman" w:hAnsi="Times New Roman"/>
          <w:sz w:val="28"/>
          <w:szCs w:val="28"/>
          <w:rtl w:val="0"/>
          <w:lang w:val="ru-RU"/>
        </w:rPr>
        <w:t>:</w:t>
      </w:r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34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4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5,1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6,2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11,3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кОм</m:t>
          </m:r>
        </m:oMath>
      </m:oMathPara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пар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2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⋅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34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2</m:t>
                  </m:r>
                </m:sub>
              </m:s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+</m:t>
              </m:r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34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4,2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⋅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11,3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4,2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+</m:t>
              </m:r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11,3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3,06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кОм</m:t>
          </m:r>
        </m:oMath>
      </m:oMathPara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экв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пар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3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+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3,06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6,06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кОм</m:t>
          </m:r>
        </m:oMath>
      </m:oMathPara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E</m:t>
              </m:r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m:rPr>
                      <m:nor/>
                    </m:rP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экв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15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6,06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2,47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кОм</m:t>
          </m:r>
        </m:oMath>
      </m:oMathPara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B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m:rPr>
                  <m:nor/>
                </m:r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пар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2,45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3,06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7,58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В</m:t>
          </m:r>
        </m:oMath>
      </m:oMathPara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2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ϕ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B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2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7,58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4,2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1,8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А</m:t>
          </m:r>
        </m:oMath>
      </m:oMathPara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ϕ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B</m:t>
                  </m:r>
                </m:sub>
              </m:sSub>
            </m:num>
            <m:den>
              <m:sSub>
                <m:e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R</m:t>
                  </m:r>
                </m:e>
                <m:sub>
                  <m:r>
                    <w:rPr xmlns:w="http://schemas.openxmlformats.org/wordprocessingml/2006/main">
                      <w:rFonts w:ascii="Cambria Math" w:hAnsi="Cambria Math"/>
                      <w:i/>
                      <w:color w:val="000000"/>
                      <w:sz w:val="29"/>
                      <w:szCs w:val="29"/>
                    </w:rPr>
                    <m:t>34</m:t>
                  </m:r>
                </m:sub>
              </m:sSub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f>
            <m:fPr>
              <m:ctrlP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</m:ctrlPr>
              <m:type m:val="bar"/>
            </m:fPr>
            <m:num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7,58</m:t>
              </m:r>
            </m:num>
            <m:den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11,3</m:t>
              </m:r>
            </m:den>
          </m:f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0,67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А</m:t>
          </m:r>
        </m:oMath>
      </m:oMathPara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8"/>
          <w:szCs w:val="28"/>
          <w:rtl w:val="0"/>
        </w:rPr>
      </w:pPr>
      <m:oMathPara>
        <m:oMathParaPr>
          <m:jc m:val="left"/>
        </m:oMathParaPr>
        <m:oMath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ϕ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C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I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3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⋅</m:t>
          </m:r>
          <m:sSub>
            <m:e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R</m:t>
              </m:r>
            </m:e>
            <m:sub>
              <m:r>
                <w:rPr xmlns:w="http://schemas.openxmlformats.org/wordprocessingml/2006/main">
                  <w:rFonts w:ascii="Cambria Math" w:hAnsi="Cambria Math"/>
                  <w:i/>
                  <w:color w:val="000000"/>
                  <w:sz w:val="29"/>
                  <w:szCs w:val="29"/>
                </w:rPr>
                <m:t>4</m:t>
              </m:r>
            </m:sub>
          </m:sSub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0,67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⋅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6,2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=</m:t>
          </m:r>
          <m: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4,16</m:t>
          </m:r>
          <m:r>
            <m:rPr>
              <m:nor/>
            </m:rPr>
            <w:rPr xmlns:w="http://schemas.openxmlformats.org/wordprocessingml/2006/main">
              <w:rFonts w:ascii="Cambria Math" w:hAnsi="Cambria Math"/>
              <w:i/>
              <w:color w:val="000000"/>
              <w:sz w:val="29"/>
              <w:szCs w:val="29"/>
            </w:rPr>
            <m:t>В</m:t>
          </m:r>
        </m:oMath>
      </m:oMathPara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</w:pP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ru-RU"/>
        </w:rPr>
        <w:t>Вывод</w:t>
      </w:r>
    </w:p>
    <w:p>
      <w:pPr>
        <w:pStyle w:val="Основной текст A"/>
        <w:jc w:val="both"/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Расчетные значения токов и потенциалов сопоставимы с реальными данными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расхождения минимальны и находятся в пределах погрешности измерений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Построенные потенциальные диаграммы наглядно отражают распределение напряжения в цепи и соответствуют теоретическим расчетам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Таким образом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экспериментальные данные подтверждают справедливость законов Кирхгофа и Ома для делителей напряжения и тока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Выполненная работа продемонстрировала правильность методов расчета разветвленных цепей и анализа электрических схем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</w:p>
    <w:sectPr>
      <w:headerReference w:type="default" r:id="rId7"/>
      <w:headerReference w:type="first" r:id="rId8"/>
      <w:footerReference w:type="default" r:id="rId9"/>
      <w:footerReference w:type="first" r:id="rId10"/>
      <w:pgSz w:w="11900" w:h="16840" w:orient="portrait"/>
      <w:pgMar w:top="1134" w:right="851" w:bottom="1134" w:left="1701" w:header="0" w:footer="709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328"/>
        <w:tab w:val="clear" w:pos="9355"/>
      </w:tabs>
      <w:jc w:val="center"/>
    </w:pPr>
    <w:r>
      <w:rPr>
        <w:rFonts w:ascii="Times New Roman" w:hAnsi="Times New Roman"/>
        <w:sz w:val="24"/>
        <w:szCs w:val="24"/>
      </w:rPr>
      <w:fldChar w:fldCharType="begin" w:fldLock="0"/>
    </w:r>
    <w:r>
      <w:rPr>
        <w:rFonts w:ascii="Times New Roman" w:hAnsi="Times New Roman"/>
        <w:sz w:val="24"/>
        <w:szCs w:val="24"/>
      </w:rPr>
      <w:instrText xml:space="preserve"> PAGE </w:instrText>
    </w:r>
    <w:r>
      <w:rPr>
        <w:rFonts w:ascii="Times New Roman" w:hAnsi="Times New Roman"/>
        <w:sz w:val="24"/>
        <w:szCs w:val="24"/>
      </w:rPr>
      <w:fldChar w:fldCharType="separate" w:fldLock="0"/>
    </w:r>
    <w:r>
      <w:rPr>
        <w:rFonts w:ascii="Times New Roman" w:hAnsi="Times New Roman"/>
        <w:sz w:val="24"/>
        <w:szCs w:val="24"/>
      </w:rPr>
    </w:r>
    <w:r>
      <w:rPr>
        <w:rFonts w:ascii="Times New Roman" w:hAnsi="Times New Roman"/>
        <w:sz w:val="24"/>
        <w:szCs w:val="24"/>
      </w:rPr>
      <w:fldChar w:fldCharType="end" w:fldLock="0"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Импортированный стиль 1"/>
  </w:abstractNum>
  <w:abstractNum w:abstractNumId="1">
    <w:multiLevelType w:val="hybridMultilevel"/>
    <w:styleLink w:val="Импортированный стиль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3."/>
      <w:lvlJc w:val="left"/>
      <w:pPr>
        <w:ind w:left="2120" w:hanging="1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6."/>
      <w:lvlJc w:val="left"/>
      <w:pPr>
        <w:ind w:left="4280" w:hanging="1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9."/>
      <w:lvlJc w:val="left"/>
      <w:pPr>
        <w:ind w:left="6440" w:hanging="1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Колонтитулы">
    <w:name w:val="Колонтитулы"/>
    <w:next w:val="Колонтитулы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677"/>
        <w:tab w:val="right" w:pos="9355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paragraph" w:styleId="Основной текст A">
    <w:name w:val="Основной текст A"/>
    <w:next w:val="Основной текст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numbering" w:styleId="Импортированный стиль 1">
    <w:name w:val="Импортированный стиль 1"/>
    <w:pPr>
      <w:numPr>
        <w:numId w:val="1"/>
      </w:numPr>
    </w:pPr>
  </w:style>
  <w:style w:type="paragraph" w:styleId="Текст1">
    <w:name w:val="Текст1"/>
    <w:next w:val="Текст1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60" w:line="360" w:lineRule="auto"/>
      <w:ind w:left="0" w:right="0" w:firstLine="709"/>
      <w:jc w:val="both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paragraph" w:styleId="По умолчанию">
    <w:name w:val="По умолчанию"/>
    <w:next w:val="По умолчанию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ru-RU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chart" Target="charts/chart1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numbering" Target="numbering.xml"/><Relationship Id="rId12" Type="http://schemas.openxmlformats.org/officeDocument/2006/relationships/theme" Target="theme/theme1.xml"/></Relationships>

</file>

<file path=word/charts/_rels/chart1.xml.rels><?xml version="1.0" encoding="UTF-8"?>
<Relationships xmlns="http://schemas.openxmlformats.org/package/2006/relationships"><Relationship Id="rId1" Type="http://schemas.openxmlformats.org/officeDocument/2006/relationships/package" Target="../embeddings/Microsoft_Excel_Sheet1.xlsx"/></Relationships>
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roundedCorners val="0"/>
  <c:chart>
    <c:autoTitleDeleted val="1"/>
    <c:plotArea>
      <c:layout>
        <c:manualLayout>
          <c:layoutTarget val="inner"/>
          <c:xMode val="edge"/>
          <c:yMode val="edge"/>
          <c:x val="0.0467203"/>
          <c:y val="0.0446751"/>
          <c:w val="0.94828"/>
          <c:h val="0.801005"/>
        </c:manualLayout>
      </c:layou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ф</c:v>
                </c:pt>
              </c:strCache>
            </c:strRef>
          </c:tx>
          <c:spPr>
            <a:solidFill>
              <a:schemeClr val="accent5"/>
            </a:solidFill>
            <a:ln w="28575" cap="rnd">
              <a:solidFill>
                <a:schemeClr val="accent5"/>
              </a:solidFill>
              <a:prstDash val="solid"/>
              <a:round/>
            </a:ln>
            <a:effectLst/>
          </c:spPr>
          <c:marker>
            <c:symbol val="circle"/>
            <c:size val="4"/>
            <c:spPr>
              <a:solidFill>
                <a:schemeClr val="accent5"/>
              </a:solidFill>
              <a:ln w="9525" cap="flat">
                <a:solidFill>
                  <a:schemeClr val="accent5"/>
                </a:solidFill>
                <a:prstDash val="solid"/>
                <a:miter lim="800000"/>
              </a:ln>
              <a:effectLst/>
            </c:spPr>
          </c:marker>
          <c:dLbls>
            <c:numFmt formatCode="0.##" sourceLinked="0"/>
            <c:txPr>
              <a:bodyPr/>
              <a:lstStyle/>
              <a:p>
                <a:pPr>
                  <a:defRPr b="0" i="0" strike="noStrike" sz="1000" u="none">
                    <a:solidFill>
                      <a:srgbClr val="000000"/>
                    </a:solidFill>
                    <a:latin typeface="Calibri"/>
                  </a:defRPr>
                </a:pPr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Sheet1!$A$2:$A$7</c:f>
              <c:strCache>
                <c:ptCount val="6"/>
                <c:pt idx="0">
                  <c:v/>
                </c:pt>
                <c:pt idx="1">
                  <c:v>3</c:v>
                </c:pt>
                <c:pt idx="2">
                  <c:v>7,2</c:v>
                </c:pt>
                <c:pt idx="3">
                  <c:v>12,3</c:v>
                </c:pt>
                <c:pt idx="4">
                  <c:v>18,5</c:v>
                </c:pt>
                <c:pt idx="5">
                  <c:v>кОм</c:v>
                </c:pt>
              </c:strCache>
            </c:strRef>
          </c:cat>
          <c:val>
            <c:numRef>
              <c:f>Sheet1!$B$2:$B$7</c:f>
              <c:numCache>
                <c:ptCount val="5"/>
                <c:pt idx="0">
                  <c:v>15.000000</c:v>
                </c:pt>
                <c:pt idx="1">
                  <c:v>11.220000</c:v>
                </c:pt>
                <c:pt idx="2">
                  <c:v>9.150000</c:v>
                </c:pt>
                <c:pt idx="3">
                  <c:v>5.020000</c:v>
                </c:pt>
                <c:pt idx="4">
                  <c:v>0.000000</c:v>
                </c:pt>
              </c:numCache>
            </c:numRef>
          </c:val>
          <c:smooth val="0"/>
        </c:ser>
        <c:marker val="1"/>
        <c:axId val="2094734552"/>
        <c:axId val="2094734553"/>
      </c:lineChart>
      <c:catAx>
        <c:axId val="209473455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low"/>
        <c:spPr>
          <a:ln w="12700" cap="flat">
            <a:solidFill>
              <a:srgbClr val="D9D9D9"/>
            </a:solidFill>
            <a:prstDash val="solid"/>
            <a:round/>
          </a:ln>
        </c:spPr>
        <c:txPr>
          <a:bodyPr rot="0"/>
          <a:lstStyle/>
          <a:p>
            <a:pPr>
              <a:defRPr b="0" i="0" strike="noStrike" sz="900" u="none">
                <a:solidFill>
                  <a:srgbClr val="595959"/>
                </a:solidFill>
                <a:latin typeface="Calibri"/>
              </a:defRPr>
            </a:pPr>
          </a:p>
        </c:txPr>
        <c:crossAx val="2094734553"/>
        <c:crosses val="autoZero"/>
        <c:auto val="1"/>
        <c:lblAlgn val="ctr"/>
        <c:noMultiLvlLbl val="1"/>
      </c:catAx>
      <c:valAx>
        <c:axId val="2094734553"/>
        <c:scaling>
          <c:orientation val="minMax"/>
        </c:scaling>
        <c:delete val="0"/>
        <c:axPos val="l"/>
        <c:majorGridlines>
          <c:spPr>
            <a:ln w="12700" cap="flat">
              <a:solidFill>
                <a:srgbClr val="D9D9D9"/>
              </a:solidFill>
              <a:prstDash val="solid"/>
              <a:round/>
            </a:ln>
          </c:spPr>
        </c:majorGridlines>
        <c:numFmt formatCode="0.##" sourceLinked="0"/>
        <c:majorTickMark val="none"/>
        <c:minorTickMark val="none"/>
        <c:tickLblPos val="nextTo"/>
        <c:spPr>
          <a:ln w="12700" cap="flat">
            <a:noFill/>
            <a:prstDash val="solid"/>
            <a:round/>
          </a:ln>
        </c:spPr>
        <c:txPr>
          <a:bodyPr rot="0"/>
          <a:lstStyle/>
          <a:p>
            <a:pPr>
              <a:defRPr b="0" i="0" strike="noStrike" sz="900" u="none">
                <a:solidFill>
                  <a:srgbClr val="595959"/>
                </a:solidFill>
                <a:latin typeface="Calibri"/>
              </a:defRPr>
            </a:pPr>
          </a:p>
        </c:txPr>
        <c:crossAx val="2094734552"/>
        <c:crosses val="autoZero"/>
        <c:crossBetween val="between"/>
        <c:majorUnit val="4"/>
        <c:minorUnit val="2"/>
      </c:valAx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.34136"/>
          <c:y val="0.942825"/>
          <c:w val="0.344212"/>
          <c:h val="0.0571751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b="0" i="0" strike="noStrike" sz="900" u="none">
              <a:solidFill>
                <a:srgbClr val="595959"/>
              </a:solidFill>
              <a:latin typeface="Calibri"/>
            </a:defRPr>
          </a:pPr>
        </a:p>
      </c:txPr>
    </c:legend>
    <c:plotVisOnly val="1"/>
    <c:dispBlanksAs val="gap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>
    <c:autoUpdate val="0"/>
  </c:externalData>
</c:chartSpace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